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9" w:rsidRPr="00D768CC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D768CC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D768CC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D768CC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:rsidR="00225849" w:rsidRPr="00D768CC" w:rsidRDefault="00225849" w:rsidP="00225849">
      <w:pPr>
        <w:rPr>
          <w:rFonts w:cs="Calibri"/>
          <w:szCs w:val="24"/>
          <w:lang w:val="de-DE" w:eastAsia="en-US"/>
        </w:rPr>
      </w:pPr>
    </w:p>
    <w:p w:rsidR="00225849" w:rsidRPr="00D768CC" w:rsidRDefault="00A616B5" w:rsidP="00225849">
      <w:pPr>
        <w:rPr>
          <w:rFonts w:cs="Calibri"/>
          <w:szCs w:val="24"/>
          <w:lang w:val="de-DE" w:eastAsia="en-US"/>
        </w:rPr>
      </w:pPr>
      <w:r>
        <w:rPr>
          <w:rFonts w:cs="Calibri"/>
          <w:szCs w:val="24"/>
          <w:lang w:val="de-DE" w:eastAsia="en-US"/>
        </w:rPr>
        <w:t>14</w:t>
      </w:r>
      <w:r w:rsidR="00A41E2E">
        <w:rPr>
          <w:rFonts w:cs="Calibri"/>
          <w:szCs w:val="24"/>
          <w:lang w:val="de-DE" w:eastAsia="en-US"/>
        </w:rPr>
        <w:t xml:space="preserve">. </w:t>
      </w:r>
      <w:r w:rsidR="004A0500">
        <w:rPr>
          <w:rFonts w:cs="Calibri"/>
          <w:szCs w:val="24"/>
          <w:lang w:val="de-DE" w:eastAsia="en-US"/>
        </w:rPr>
        <w:t>März</w:t>
      </w:r>
      <w:r w:rsidR="00D768CC" w:rsidRPr="00D768CC">
        <w:rPr>
          <w:rFonts w:cs="Calibri"/>
          <w:szCs w:val="24"/>
          <w:lang w:val="de-DE" w:eastAsia="en-US"/>
        </w:rPr>
        <w:t xml:space="preserve"> </w:t>
      </w:r>
      <w:r w:rsidR="00225849" w:rsidRPr="00D768CC">
        <w:rPr>
          <w:rFonts w:cs="Calibri"/>
          <w:szCs w:val="24"/>
          <w:lang w:val="de-DE" w:eastAsia="en-US"/>
        </w:rPr>
        <w:t>201</w:t>
      </w:r>
      <w:r w:rsidR="004A0500">
        <w:rPr>
          <w:rFonts w:cs="Calibri"/>
          <w:szCs w:val="24"/>
          <w:lang w:val="de-DE" w:eastAsia="en-US"/>
        </w:rPr>
        <w:t>6</w:t>
      </w:r>
    </w:p>
    <w:p w:rsidR="00225849" w:rsidRPr="00D768CC" w:rsidRDefault="00225849" w:rsidP="00225849">
      <w:pPr>
        <w:rPr>
          <w:rFonts w:cs="Calibri"/>
          <w:szCs w:val="24"/>
          <w:lang w:val="de-DE" w:eastAsia="en-US"/>
        </w:rPr>
      </w:pPr>
    </w:p>
    <w:p w:rsidR="00AD18FB" w:rsidRPr="00F64C09" w:rsidRDefault="00A616B5" w:rsidP="00AD18FB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PoE</w:t>
      </w:r>
      <w:proofErr w:type="spellEnd"/>
      <w:r>
        <w:rPr>
          <w:sz w:val="24"/>
          <w:szCs w:val="24"/>
          <w:lang w:val="de-DE"/>
        </w:rPr>
        <w:t xml:space="preserve"> –</w:t>
      </w:r>
      <w:r w:rsidR="00FE0A7E">
        <w:rPr>
          <w:sz w:val="24"/>
          <w:szCs w:val="24"/>
          <w:lang w:val="de-DE"/>
        </w:rPr>
        <w:t xml:space="preserve"> </w:t>
      </w:r>
      <w:r w:rsidR="00AD18FB" w:rsidRPr="00F64C09">
        <w:rPr>
          <w:sz w:val="24"/>
          <w:szCs w:val="24"/>
          <w:lang w:val="de-DE"/>
        </w:rPr>
        <w:t>Individuelle Bürobeleuchtung von Philips</w:t>
      </w:r>
      <w:r w:rsidR="000A2068">
        <w:rPr>
          <w:sz w:val="24"/>
          <w:szCs w:val="24"/>
          <w:lang w:val="de-DE"/>
        </w:rPr>
        <w:t xml:space="preserve"> </w:t>
      </w:r>
    </w:p>
    <w:p w:rsidR="00AD18FB" w:rsidRPr="00AD18FB" w:rsidRDefault="00AD18FB" w:rsidP="00AD18FB">
      <w:pPr>
        <w:rPr>
          <w:bCs/>
          <w:iCs/>
          <w:szCs w:val="28"/>
          <w:lang w:val="de-DE"/>
        </w:rPr>
      </w:pPr>
    </w:p>
    <w:p w:rsidR="00AD18FB" w:rsidRPr="00F64C09" w:rsidRDefault="00AD18FB" w:rsidP="00AD18FB">
      <w:pPr>
        <w:rPr>
          <w:b/>
          <w:sz w:val="24"/>
          <w:szCs w:val="24"/>
          <w:lang w:val="de-DE"/>
        </w:rPr>
      </w:pPr>
      <w:r w:rsidRPr="00F64C09">
        <w:rPr>
          <w:b/>
          <w:sz w:val="24"/>
          <w:szCs w:val="24"/>
          <w:lang w:val="de-DE"/>
        </w:rPr>
        <w:t>Besseres Licht für mehr Arbeitsqualität</w:t>
      </w:r>
    </w:p>
    <w:p w:rsidR="00AD18FB" w:rsidRPr="00CE0772" w:rsidRDefault="00AD18FB" w:rsidP="00AD18FB">
      <w:pPr>
        <w:rPr>
          <w:lang w:val="de-DE"/>
        </w:rPr>
      </w:pPr>
    </w:p>
    <w:p w:rsidR="0099454B" w:rsidRPr="00EE7C13" w:rsidRDefault="00A41E2E" w:rsidP="00AD18FB">
      <w:pPr>
        <w:rPr>
          <w:rFonts w:cs="Calibri"/>
          <w:lang w:val="de-DE"/>
        </w:rPr>
      </w:pPr>
      <w:r w:rsidRPr="00A41E2E">
        <w:rPr>
          <w:rStyle w:val="PhCSTListZchn"/>
          <w:b/>
          <w:szCs w:val="22"/>
          <w:lang w:val="de-DE"/>
        </w:rPr>
        <w:t xml:space="preserve">Frankfurt </w:t>
      </w:r>
      <w:r w:rsidR="000A2068">
        <w:rPr>
          <w:rStyle w:val="PhCSTListZchn"/>
          <w:b/>
          <w:szCs w:val="22"/>
          <w:lang w:val="de-DE"/>
        </w:rPr>
        <w:t>–</w:t>
      </w:r>
      <w:r w:rsidRPr="00A41E2E">
        <w:rPr>
          <w:rStyle w:val="PhCSTListZchn"/>
          <w:b/>
          <w:szCs w:val="22"/>
          <w:lang w:val="de-DE"/>
        </w:rPr>
        <w:t xml:space="preserve"> </w:t>
      </w:r>
      <w:r w:rsidR="00AD18FB" w:rsidRPr="003C6D5E">
        <w:rPr>
          <w:rFonts w:cs="Calibri"/>
          <w:lang w:val="de-DE"/>
        </w:rPr>
        <w:t>Das</w:t>
      </w:r>
      <w:r w:rsidR="000A2068">
        <w:rPr>
          <w:rFonts w:cs="Calibri"/>
          <w:lang w:val="de-DE"/>
        </w:rPr>
        <w:t xml:space="preserve"> </w:t>
      </w:r>
      <w:r w:rsidR="00AD18FB" w:rsidRPr="003C6D5E">
        <w:rPr>
          <w:rFonts w:cs="Calibri"/>
          <w:lang w:val="de-DE"/>
        </w:rPr>
        <w:t xml:space="preserve">Prinzip der einheitlichen Beleuchtung für </w:t>
      </w:r>
      <w:r w:rsidR="003C6D5E" w:rsidRPr="003C6D5E">
        <w:rPr>
          <w:rFonts w:cs="Calibri"/>
          <w:lang w:val="de-DE"/>
        </w:rPr>
        <w:t xml:space="preserve">alle </w:t>
      </w:r>
      <w:r w:rsidR="00AD18FB" w:rsidRPr="003C6D5E">
        <w:rPr>
          <w:rFonts w:cs="Calibri"/>
          <w:lang w:val="de-DE"/>
        </w:rPr>
        <w:t>Arbeit</w:t>
      </w:r>
      <w:r w:rsidR="000625CA">
        <w:rPr>
          <w:rFonts w:cs="Calibri"/>
          <w:lang w:val="de-DE"/>
        </w:rPr>
        <w:t>s</w:t>
      </w:r>
      <w:r w:rsidR="003C6D5E" w:rsidRPr="003C6D5E">
        <w:rPr>
          <w:rFonts w:cs="Calibri"/>
          <w:lang w:val="de-DE"/>
        </w:rPr>
        <w:t xml:space="preserve">plätze </w:t>
      </w:r>
      <w:r w:rsidR="003C6D5E">
        <w:rPr>
          <w:rFonts w:cs="Calibri"/>
          <w:lang w:val="de-DE"/>
        </w:rPr>
        <w:t xml:space="preserve">und Arbeitnehmer jeden Alters </w:t>
      </w:r>
      <w:r w:rsidR="00AD18FB" w:rsidRPr="00AD18FB">
        <w:rPr>
          <w:rFonts w:cs="Calibri"/>
          <w:lang w:val="de-DE"/>
        </w:rPr>
        <w:t>ist nicht mehr zeitgemäß.</w:t>
      </w:r>
      <w:r w:rsidR="00AD18FB" w:rsidRPr="00AD18FB">
        <w:rPr>
          <w:lang w:val="de-DE"/>
        </w:rPr>
        <w:t xml:space="preserve"> </w:t>
      </w:r>
      <w:r w:rsidR="0094050F">
        <w:rPr>
          <w:lang w:val="de-DE"/>
        </w:rPr>
        <w:t>Die Lebensarbeitszeit steigt</w:t>
      </w:r>
      <w:r w:rsidR="00331931">
        <w:rPr>
          <w:lang w:val="de-DE"/>
        </w:rPr>
        <w:t xml:space="preserve"> und die persönlichen A</w:t>
      </w:r>
      <w:r w:rsidR="00331931">
        <w:rPr>
          <w:lang w:val="de-DE"/>
        </w:rPr>
        <w:t>n</w:t>
      </w:r>
      <w:r w:rsidR="00331931">
        <w:rPr>
          <w:lang w:val="de-DE"/>
        </w:rPr>
        <w:t xml:space="preserve">forderungen der Menschen an die Beleuchtungsstärke </w:t>
      </w:r>
      <w:r w:rsidR="002B162F">
        <w:rPr>
          <w:lang w:val="de-DE"/>
        </w:rPr>
        <w:t xml:space="preserve">und Lichtfarbe </w:t>
      </w:r>
      <w:r w:rsidR="00CE0772">
        <w:rPr>
          <w:lang w:val="de-DE"/>
        </w:rPr>
        <w:t>sind</w:t>
      </w:r>
      <w:r w:rsidR="002B162F">
        <w:rPr>
          <w:lang w:val="de-DE"/>
        </w:rPr>
        <w:t xml:space="preserve"> abhängig </w:t>
      </w:r>
      <w:r w:rsidR="00914EB5">
        <w:rPr>
          <w:lang w:val="de-DE"/>
        </w:rPr>
        <w:t>vom Alter und der Art der Tätigkeit</w:t>
      </w:r>
      <w:r w:rsidR="002B162F">
        <w:rPr>
          <w:lang w:val="de-DE"/>
        </w:rPr>
        <w:t>.</w:t>
      </w:r>
      <w:r w:rsidR="0094050F">
        <w:rPr>
          <w:lang w:val="de-DE"/>
        </w:rPr>
        <w:t xml:space="preserve"> </w:t>
      </w:r>
      <w:r w:rsidR="000568D8">
        <w:rPr>
          <w:rFonts w:cs="Calibri"/>
          <w:lang w:val="de-DE"/>
        </w:rPr>
        <w:t xml:space="preserve">Als </w:t>
      </w:r>
      <w:r w:rsidR="00AD18FB" w:rsidRPr="00AD18FB">
        <w:rPr>
          <w:rFonts w:cs="Calibri"/>
          <w:lang w:val="de-DE"/>
        </w:rPr>
        <w:t>weltweiter Marktführer für Beleuchtungs</w:t>
      </w:r>
      <w:r w:rsidR="000625CA">
        <w:rPr>
          <w:rFonts w:cs="Calibri"/>
          <w:lang w:val="de-DE"/>
        </w:rPr>
        <w:t>lösungen</w:t>
      </w:r>
      <w:r w:rsidR="003C6D5E">
        <w:rPr>
          <w:rFonts w:cs="Calibri"/>
          <w:lang w:val="de-DE"/>
        </w:rPr>
        <w:t xml:space="preserve"> fordert </w:t>
      </w:r>
      <w:r w:rsidR="00754886">
        <w:rPr>
          <w:rFonts w:cs="Calibri"/>
          <w:lang w:val="de-DE"/>
        </w:rPr>
        <w:br/>
      </w:r>
      <w:bookmarkStart w:id="1" w:name="_GoBack"/>
      <w:bookmarkEnd w:id="1"/>
      <w:r w:rsidR="000568D8" w:rsidRPr="00AD18FB">
        <w:rPr>
          <w:rFonts w:cs="Calibri"/>
          <w:lang w:val="de-DE"/>
        </w:rPr>
        <w:t>Ph</w:t>
      </w:r>
      <w:r w:rsidR="000568D8" w:rsidRPr="00AD18FB">
        <w:rPr>
          <w:rFonts w:cs="Calibri"/>
          <w:lang w:val="de-DE"/>
        </w:rPr>
        <w:t>i</w:t>
      </w:r>
      <w:r w:rsidR="000568D8" w:rsidRPr="00AD18FB">
        <w:rPr>
          <w:rFonts w:cs="Calibri"/>
          <w:lang w:val="de-DE"/>
        </w:rPr>
        <w:t xml:space="preserve">lips </w:t>
      </w:r>
      <w:r w:rsidR="003C6D5E">
        <w:rPr>
          <w:rFonts w:cs="Calibri"/>
          <w:lang w:val="de-DE"/>
        </w:rPr>
        <w:t>des</w:t>
      </w:r>
      <w:r w:rsidR="000568D8">
        <w:rPr>
          <w:rFonts w:cs="Calibri"/>
          <w:lang w:val="de-DE"/>
        </w:rPr>
        <w:t>halb</w:t>
      </w:r>
      <w:r w:rsidR="00AD18FB" w:rsidRPr="00AD18FB">
        <w:rPr>
          <w:rFonts w:cs="Calibri"/>
          <w:lang w:val="de-DE"/>
        </w:rPr>
        <w:t xml:space="preserve">, die </w:t>
      </w:r>
      <w:r w:rsidR="003C6D5E">
        <w:rPr>
          <w:rFonts w:cs="Calibri"/>
          <w:lang w:val="de-DE"/>
        </w:rPr>
        <w:t>gesetzlichen</w:t>
      </w:r>
      <w:r w:rsidR="003C6D5E" w:rsidRPr="00AD18FB">
        <w:rPr>
          <w:rFonts w:cs="Calibri"/>
          <w:lang w:val="de-DE"/>
        </w:rPr>
        <w:t xml:space="preserve"> </w:t>
      </w:r>
      <w:r w:rsidR="002B162F">
        <w:rPr>
          <w:rFonts w:cs="Calibri"/>
          <w:lang w:val="de-DE"/>
        </w:rPr>
        <w:t>Vorgaben</w:t>
      </w:r>
      <w:r w:rsidR="00914EB5">
        <w:rPr>
          <w:rFonts w:cs="Calibri"/>
          <w:lang w:val="de-DE"/>
        </w:rPr>
        <w:t xml:space="preserve"> für die Bürobeleuchtung</w:t>
      </w:r>
      <w:r w:rsidR="00CE0772">
        <w:rPr>
          <w:rFonts w:cs="Calibri"/>
          <w:lang w:val="de-DE"/>
        </w:rPr>
        <w:t xml:space="preserve"> zu überdenken.</w:t>
      </w:r>
    </w:p>
    <w:p w:rsidR="00EE7C13" w:rsidRPr="00B64AD3" w:rsidRDefault="00EE7C13" w:rsidP="00546E34">
      <w:pPr>
        <w:rPr>
          <w:rFonts w:cs="Calibri"/>
          <w:lang w:val="de-DE"/>
        </w:rPr>
      </w:pPr>
    </w:p>
    <w:p w:rsidR="00AD18FB" w:rsidRPr="00AD18FB" w:rsidRDefault="00AD18FB" w:rsidP="00AD18FB">
      <w:pPr>
        <w:rPr>
          <w:rFonts w:cs="Calibri"/>
          <w:lang w:val="de-DE"/>
        </w:rPr>
      </w:pPr>
      <w:r w:rsidRPr="00AD18FB">
        <w:rPr>
          <w:rFonts w:cs="Calibri"/>
          <w:lang w:val="de-DE"/>
        </w:rPr>
        <w:t xml:space="preserve">Konzentration, Leistung und Wohlbefinden sind Faktoren, die </w:t>
      </w:r>
      <w:r w:rsidR="0099454B">
        <w:rPr>
          <w:rFonts w:cs="Calibri"/>
          <w:lang w:val="de-DE"/>
        </w:rPr>
        <w:t xml:space="preserve">an </w:t>
      </w:r>
      <w:r w:rsidR="0099454B" w:rsidRPr="00AD18FB">
        <w:rPr>
          <w:rFonts w:cs="Calibri"/>
          <w:lang w:val="de-DE"/>
        </w:rPr>
        <w:t>Büroarbeitsplätzen</w:t>
      </w:r>
      <w:r w:rsidR="0099454B">
        <w:rPr>
          <w:rFonts w:cs="Calibri"/>
          <w:lang w:val="de-DE"/>
        </w:rPr>
        <w:t xml:space="preserve"> durch Licht beeinflusst werden</w:t>
      </w:r>
      <w:r w:rsidRPr="00AD18FB">
        <w:rPr>
          <w:rFonts w:cs="Calibri"/>
          <w:lang w:val="de-DE"/>
        </w:rPr>
        <w:t>. Wegen der</w:t>
      </w:r>
      <w:r w:rsidR="00BA2795">
        <w:rPr>
          <w:rFonts w:cs="Calibri"/>
          <w:lang w:val="de-DE"/>
        </w:rPr>
        <w:t xml:space="preserve"> unterschiedlichen Tätigkeiten</w:t>
      </w:r>
      <w:r w:rsidR="00E667DB">
        <w:rPr>
          <w:rFonts w:cs="Calibri"/>
          <w:lang w:val="de-DE"/>
        </w:rPr>
        <w:t xml:space="preserve">, </w:t>
      </w:r>
      <w:r w:rsidR="00BA2795">
        <w:rPr>
          <w:rFonts w:cs="Calibri"/>
          <w:lang w:val="de-DE"/>
        </w:rPr>
        <w:t xml:space="preserve">Sehleistungen und </w:t>
      </w:r>
      <w:r w:rsidR="00F8402A">
        <w:rPr>
          <w:rFonts w:cs="Calibri"/>
          <w:lang w:val="de-DE"/>
        </w:rPr>
        <w:t>pe</w:t>
      </w:r>
      <w:r w:rsidR="00F8402A">
        <w:rPr>
          <w:rFonts w:cs="Calibri"/>
          <w:lang w:val="de-DE"/>
        </w:rPr>
        <w:t>r</w:t>
      </w:r>
      <w:r w:rsidR="00F8402A">
        <w:rPr>
          <w:rFonts w:cs="Calibri"/>
          <w:lang w:val="de-DE"/>
        </w:rPr>
        <w:t xml:space="preserve">sönlichen </w:t>
      </w:r>
      <w:r w:rsidR="00BA2795">
        <w:rPr>
          <w:rFonts w:cs="Calibri"/>
          <w:lang w:val="de-DE"/>
        </w:rPr>
        <w:t>Vorzüge</w:t>
      </w:r>
      <w:r w:rsidR="00B64AD3">
        <w:rPr>
          <w:rFonts w:cs="Calibri"/>
          <w:lang w:val="de-DE"/>
        </w:rPr>
        <w:t>n</w:t>
      </w:r>
      <w:r w:rsidR="00BA2795">
        <w:rPr>
          <w:rFonts w:cs="Calibri"/>
          <w:lang w:val="de-DE"/>
        </w:rPr>
        <w:t xml:space="preserve"> </w:t>
      </w:r>
      <w:r w:rsidRPr="00AD18FB">
        <w:rPr>
          <w:rFonts w:cs="Calibri"/>
          <w:lang w:val="de-DE"/>
        </w:rPr>
        <w:t xml:space="preserve">ist die individuelle </w:t>
      </w:r>
      <w:r w:rsidR="00914EB5">
        <w:rPr>
          <w:rFonts w:cs="Calibri"/>
          <w:lang w:val="de-DE"/>
        </w:rPr>
        <w:t xml:space="preserve">Steuerung </w:t>
      </w:r>
      <w:r w:rsidRPr="00AD18FB">
        <w:rPr>
          <w:rFonts w:cs="Calibri"/>
          <w:lang w:val="de-DE"/>
        </w:rPr>
        <w:t>der Arbeitsplatzleuchte der einzige prakt</w:t>
      </w:r>
      <w:r w:rsidRPr="00AD18FB">
        <w:rPr>
          <w:rFonts w:cs="Calibri"/>
          <w:lang w:val="de-DE"/>
        </w:rPr>
        <w:t>i</w:t>
      </w:r>
      <w:r w:rsidRPr="00AD18FB">
        <w:rPr>
          <w:rFonts w:cs="Calibri"/>
          <w:lang w:val="de-DE"/>
        </w:rPr>
        <w:t xml:space="preserve">kable Weg, </w:t>
      </w:r>
      <w:r w:rsidR="0060452B">
        <w:rPr>
          <w:rFonts w:cs="Calibri"/>
          <w:lang w:val="de-DE"/>
        </w:rPr>
        <w:t xml:space="preserve">um </w:t>
      </w:r>
      <w:r w:rsidR="0060452B" w:rsidRPr="00AD18FB">
        <w:rPr>
          <w:rFonts w:cs="Calibri"/>
          <w:lang w:val="de-DE"/>
        </w:rPr>
        <w:t>sicherzustellen</w:t>
      </w:r>
      <w:r w:rsidR="0060452B">
        <w:rPr>
          <w:rFonts w:cs="Calibri"/>
          <w:lang w:val="de-DE"/>
        </w:rPr>
        <w:t>,</w:t>
      </w:r>
      <w:r w:rsidR="0060452B" w:rsidRPr="00AD18FB">
        <w:rPr>
          <w:rFonts w:cs="Calibri"/>
          <w:lang w:val="de-DE"/>
        </w:rPr>
        <w:t xml:space="preserve"> </w:t>
      </w:r>
      <w:r w:rsidRPr="00AD18FB">
        <w:rPr>
          <w:rFonts w:cs="Calibri"/>
          <w:lang w:val="de-DE"/>
        </w:rPr>
        <w:t xml:space="preserve">dass Arbeitnehmer sich das Licht </w:t>
      </w:r>
      <w:r w:rsidR="00E72865">
        <w:rPr>
          <w:rFonts w:cs="Calibri"/>
          <w:lang w:val="de-DE"/>
        </w:rPr>
        <w:t xml:space="preserve">ihren </w:t>
      </w:r>
      <w:r w:rsidR="00F8402A">
        <w:rPr>
          <w:rFonts w:cs="Calibri"/>
          <w:lang w:val="de-DE"/>
        </w:rPr>
        <w:t>Erfordernissen en</w:t>
      </w:r>
      <w:r w:rsidR="00F8402A">
        <w:rPr>
          <w:rFonts w:cs="Calibri"/>
          <w:lang w:val="de-DE"/>
        </w:rPr>
        <w:t>t</w:t>
      </w:r>
      <w:r w:rsidR="00F8402A">
        <w:rPr>
          <w:rFonts w:cs="Calibri"/>
          <w:lang w:val="de-DE"/>
        </w:rPr>
        <w:t xml:space="preserve">sprechend </w:t>
      </w:r>
      <w:r w:rsidRPr="00AD18FB">
        <w:rPr>
          <w:rFonts w:cs="Calibri"/>
          <w:lang w:val="de-DE"/>
        </w:rPr>
        <w:t>einstellen könn</w:t>
      </w:r>
      <w:r w:rsidR="00E72865">
        <w:rPr>
          <w:rFonts w:cs="Calibri"/>
          <w:lang w:val="de-DE"/>
        </w:rPr>
        <w:t>en</w:t>
      </w:r>
      <w:r w:rsidR="00546E34">
        <w:rPr>
          <w:rFonts w:cs="Calibri"/>
          <w:lang w:val="de-DE"/>
        </w:rPr>
        <w:t>,</w:t>
      </w:r>
      <w:r w:rsidR="0060452B">
        <w:rPr>
          <w:rFonts w:cs="Calibri"/>
          <w:lang w:val="de-DE"/>
        </w:rPr>
        <w:t xml:space="preserve"> </w:t>
      </w:r>
      <w:r w:rsidR="00E72865">
        <w:rPr>
          <w:rFonts w:cs="Calibri"/>
          <w:lang w:val="de-DE"/>
        </w:rPr>
        <w:t xml:space="preserve">um </w:t>
      </w:r>
      <w:r w:rsidR="00E72865" w:rsidRPr="00AD18FB">
        <w:rPr>
          <w:rFonts w:cs="Calibri"/>
          <w:lang w:val="de-DE"/>
        </w:rPr>
        <w:t xml:space="preserve">konzentriert </w:t>
      </w:r>
      <w:r w:rsidR="00914EB5">
        <w:rPr>
          <w:rFonts w:cs="Calibri"/>
          <w:lang w:val="de-DE"/>
        </w:rPr>
        <w:t xml:space="preserve">zu </w:t>
      </w:r>
      <w:r w:rsidR="00E72865">
        <w:rPr>
          <w:rFonts w:cs="Calibri"/>
          <w:lang w:val="de-DE"/>
        </w:rPr>
        <w:t>a</w:t>
      </w:r>
      <w:r w:rsidR="00E72865" w:rsidRPr="00AD18FB">
        <w:rPr>
          <w:rFonts w:cs="Calibri"/>
          <w:lang w:val="de-DE"/>
        </w:rPr>
        <w:t>rbei</w:t>
      </w:r>
      <w:r w:rsidR="00E72865">
        <w:rPr>
          <w:rFonts w:cs="Calibri"/>
          <w:lang w:val="de-DE"/>
        </w:rPr>
        <w:t xml:space="preserve">ten und ihre </w:t>
      </w:r>
      <w:r w:rsidR="00014DF8">
        <w:rPr>
          <w:rFonts w:cs="Calibri"/>
          <w:lang w:val="de-DE"/>
        </w:rPr>
        <w:t>Leistungsfähigkeit</w:t>
      </w:r>
      <w:r w:rsidR="00775792">
        <w:rPr>
          <w:rFonts w:cs="Calibri"/>
          <w:lang w:val="de-DE"/>
        </w:rPr>
        <w:t xml:space="preserve"> </w:t>
      </w:r>
      <w:r w:rsidR="00E667DB">
        <w:rPr>
          <w:rFonts w:cs="Calibri"/>
          <w:lang w:val="de-DE"/>
        </w:rPr>
        <w:t xml:space="preserve">zu </w:t>
      </w:r>
      <w:r w:rsidR="00775792">
        <w:rPr>
          <w:rFonts w:cs="Calibri"/>
          <w:lang w:val="de-DE"/>
        </w:rPr>
        <w:t>e</w:t>
      </w:r>
      <w:r w:rsidR="00775792">
        <w:rPr>
          <w:rFonts w:cs="Calibri"/>
          <w:lang w:val="de-DE"/>
        </w:rPr>
        <w:t>r</w:t>
      </w:r>
      <w:r w:rsidR="00775792">
        <w:rPr>
          <w:rFonts w:cs="Calibri"/>
          <w:lang w:val="de-DE"/>
        </w:rPr>
        <w:t>halten.</w:t>
      </w:r>
    </w:p>
    <w:p w:rsidR="00AD18FB" w:rsidRPr="00AD18FB" w:rsidRDefault="00AD18FB" w:rsidP="00AD18FB">
      <w:pPr>
        <w:rPr>
          <w:rFonts w:cs="Calibri"/>
          <w:szCs w:val="24"/>
          <w:lang w:val="de-DE"/>
        </w:rPr>
      </w:pPr>
    </w:p>
    <w:p w:rsidR="00AD18FB" w:rsidRPr="00AD18FB" w:rsidRDefault="00AD18FB" w:rsidP="00AD18FB">
      <w:pPr>
        <w:rPr>
          <w:rFonts w:cs="Calibri"/>
          <w:b/>
          <w:szCs w:val="24"/>
          <w:lang w:val="de-DE"/>
        </w:rPr>
      </w:pPr>
      <w:r w:rsidRPr="00AD18FB">
        <w:rPr>
          <w:rFonts w:cs="Calibri"/>
          <w:b/>
          <w:lang w:val="de-DE"/>
        </w:rPr>
        <w:t>Power-</w:t>
      </w:r>
      <w:proofErr w:type="spellStart"/>
      <w:r w:rsidRPr="00AD18FB">
        <w:rPr>
          <w:rFonts w:cs="Calibri"/>
          <w:b/>
          <w:lang w:val="de-DE"/>
        </w:rPr>
        <w:t>over</w:t>
      </w:r>
      <w:proofErr w:type="spellEnd"/>
      <w:r w:rsidRPr="00AD18FB">
        <w:rPr>
          <w:rFonts w:cs="Calibri"/>
          <w:b/>
          <w:lang w:val="de-DE"/>
        </w:rPr>
        <w:t>-Ethernet</w:t>
      </w:r>
    </w:p>
    <w:p w:rsidR="00AD18FB" w:rsidRPr="00AD18FB" w:rsidRDefault="006328FF" w:rsidP="00AD18FB">
      <w:pPr>
        <w:rPr>
          <w:lang w:val="de-DE"/>
        </w:rPr>
      </w:pPr>
      <w:r>
        <w:rPr>
          <w:rFonts w:cs="Calibri"/>
          <w:lang w:val="de-DE"/>
        </w:rPr>
        <w:t xml:space="preserve">Bereits heute ermöglicht die </w:t>
      </w:r>
      <w:r w:rsidR="00F81A56">
        <w:rPr>
          <w:rFonts w:cs="Calibri"/>
          <w:lang w:val="de-DE"/>
        </w:rPr>
        <w:t>patentierte</w:t>
      </w:r>
      <w:r w:rsidR="00F8402A">
        <w:rPr>
          <w:rFonts w:cs="Calibri"/>
          <w:lang w:val="de-DE"/>
        </w:rPr>
        <w:t>,</w:t>
      </w:r>
      <w:r w:rsidR="00F81A56">
        <w:rPr>
          <w:rFonts w:cs="Calibri"/>
          <w:lang w:val="de-DE"/>
        </w:rPr>
        <w:t xml:space="preserve"> </w:t>
      </w:r>
      <w:r w:rsidR="001E4A09" w:rsidRPr="00AD18FB">
        <w:rPr>
          <w:rFonts w:cs="Calibri"/>
          <w:lang w:val="de-DE"/>
        </w:rPr>
        <w:t xml:space="preserve">vernetzte Bürobeleuchtung </w:t>
      </w:r>
      <w:r w:rsidRPr="00AD18FB">
        <w:rPr>
          <w:rFonts w:cs="Calibri"/>
          <w:lang w:val="de-DE"/>
        </w:rPr>
        <w:t>Power-</w:t>
      </w:r>
      <w:proofErr w:type="spellStart"/>
      <w:r w:rsidRPr="00AD18FB">
        <w:rPr>
          <w:rFonts w:cs="Calibri"/>
          <w:lang w:val="de-DE"/>
        </w:rPr>
        <w:t>over</w:t>
      </w:r>
      <w:proofErr w:type="spellEnd"/>
      <w:r w:rsidRPr="00AD18FB">
        <w:rPr>
          <w:rFonts w:cs="Calibri"/>
          <w:lang w:val="de-DE"/>
        </w:rPr>
        <w:t>-Ethernet (</w:t>
      </w:r>
      <w:proofErr w:type="spellStart"/>
      <w:r w:rsidRPr="00AD18FB">
        <w:rPr>
          <w:rFonts w:cs="Calibri"/>
          <w:lang w:val="de-DE"/>
        </w:rPr>
        <w:t>PoE</w:t>
      </w:r>
      <w:proofErr w:type="spellEnd"/>
      <w:r w:rsidRPr="00AD18FB">
        <w:rPr>
          <w:rFonts w:cs="Calibri"/>
          <w:lang w:val="de-DE"/>
        </w:rPr>
        <w:t xml:space="preserve">) </w:t>
      </w:r>
      <w:r>
        <w:rPr>
          <w:rFonts w:cs="Calibri"/>
          <w:lang w:val="de-DE"/>
        </w:rPr>
        <w:t xml:space="preserve">von </w:t>
      </w:r>
      <w:r w:rsidRPr="00AD18FB">
        <w:rPr>
          <w:rFonts w:cs="Calibri"/>
          <w:lang w:val="de-DE"/>
        </w:rPr>
        <w:t xml:space="preserve">Philips </w:t>
      </w:r>
      <w:r>
        <w:rPr>
          <w:rFonts w:cs="Calibri"/>
          <w:lang w:val="de-DE"/>
        </w:rPr>
        <w:t>die</w:t>
      </w:r>
      <w:r w:rsidR="00AD18FB" w:rsidRPr="00AD18FB">
        <w:rPr>
          <w:rFonts w:cs="Calibri"/>
          <w:lang w:val="de-DE"/>
        </w:rPr>
        <w:t xml:space="preserve"> individuelle Beleuchtungssteuerung ohne zusätzliche </w:t>
      </w:r>
      <w:r>
        <w:rPr>
          <w:rFonts w:cs="Calibri"/>
          <w:lang w:val="de-DE"/>
        </w:rPr>
        <w:t>Installat</w:t>
      </w:r>
      <w:r>
        <w:rPr>
          <w:rFonts w:cs="Calibri"/>
          <w:lang w:val="de-DE"/>
        </w:rPr>
        <w:t>i</w:t>
      </w:r>
      <w:r>
        <w:rPr>
          <w:rFonts w:cs="Calibri"/>
          <w:lang w:val="de-DE"/>
        </w:rPr>
        <w:t>onsk</w:t>
      </w:r>
      <w:r w:rsidR="00AD18FB" w:rsidRPr="00AD18FB">
        <w:rPr>
          <w:rFonts w:cs="Calibri"/>
          <w:lang w:val="de-DE"/>
        </w:rPr>
        <w:t xml:space="preserve">osten </w:t>
      </w:r>
      <w:r>
        <w:rPr>
          <w:rFonts w:cs="Calibri"/>
          <w:lang w:val="de-DE"/>
        </w:rPr>
        <w:t xml:space="preserve">und </w:t>
      </w:r>
      <w:r w:rsidR="001E4A09">
        <w:rPr>
          <w:rFonts w:cs="Calibri"/>
          <w:lang w:val="de-DE"/>
        </w:rPr>
        <w:t>Mehra</w:t>
      </w:r>
      <w:r>
        <w:rPr>
          <w:rFonts w:cs="Calibri"/>
          <w:lang w:val="de-DE"/>
        </w:rPr>
        <w:t xml:space="preserve">ufwand </w:t>
      </w:r>
      <w:r w:rsidR="00AD18FB" w:rsidRPr="00AD18FB">
        <w:rPr>
          <w:rFonts w:cs="Calibri"/>
          <w:lang w:val="de-DE"/>
        </w:rPr>
        <w:t xml:space="preserve">für den Arbeitgeber </w:t>
      </w:r>
      <w:r w:rsidR="001E4A09">
        <w:rPr>
          <w:rFonts w:cs="Calibri"/>
          <w:lang w:val="de-DE"/>
        </w:rPr>
        <w:t xml:space="preserve">oder </w:t>
      </w:r>
      <w:r w:rsidR="00AD18FB" w:rsidRPr="00AD18FB">
        <w:rPr>
          <w:rFonts w:cs="Calibri"/>
          <w:lang w:val="de-DE"/>
        </w:rPr>
        <w:t>negative Auswirkungen auf die CO</w:t>
      </w:r>
      <w:r w:rsidR="00AD18FB" w:rsidRPr="00AD18FB">
        <w:rPr>
          <w:rFonts w:cs="Calibri"/>
          <w:b/>
          <w:vertAlign w:val="subscript"/>
          <w:lang w:val="de-DE"/>
        </w:rPr>
        <w:t>2</w:t>
      </w:r>
      <w:r w:rsidR="00AD18FB" w:rsidRPr="00AD18FB">
        <w:rPr>
          <w:rFonts w:cs="Calibri"/>
          <w:lang w:val="de-DE"/>
        </w:rPr>
        <w:t>-Bilanz.</w:t>
      </w:r>
      <w:r w:rsidR="00AD18FB" w:rsidRPr="00AD18FB">
        <w:rPr>
          <w:lang w:val="de-DE"/>
        </w:rPr>
        <w:t xml:space="preserve"> </w:t>
      </w:r>
      <w:r w:rsidR="00F8402A">
        <w:rPr>
          <w:lang w:val="de-DE"/>
        </w:rPr>
        <w:t xml:space="preserve">Für den </w:t>
      </w:r>
      <w:r w:rsidR="00FE3DAE">
        <w:rPr>
          <w:lang w:val="de-DE"/>
        </w:rPr>
        <w:t xml:space="preserve">Anschluss und den </w:t>
      </w:r>
      <w:r w:rsidR="00F8402A">
        <w:rPr>
          <w:lang w:val="de-DE"/>
        </w:rPr>
        <w:t>Betrieb</w:t>
      </w:r>
      <w:r w:rsidR="001E4A09">
        <w:rPr>
          <w:lang w:val="de-DE"/>
        </w:rPr>
        <w:t xml:space="preserve"> nutzt </w:t>
      </w:r>
      <w:r w:rsidR="00914EB5">
        <w:rPr>
          <w:lang w:val="de-DE"/>
        </w:rPr>
        <w:t>das Beleuchtungssystem</w:t>
      </w:r>
      <w:r w:rsidR="001E4A09">
        <w:rPr>
          <w:lang w:val="de-DE"/>
        </w:rPr>
        <w:t xml:space="preserve"> </w:t>
      </w:r>
      <w:r w:rsidR="00FE3DAE">
        <w:rPr>
          <w:lang w:val="de-DE"/>
        </w:rPr>
        <w:t xml:space="preserve">Ethernet-Kabel, </w:t>
      </w:r>
      <w:r w:rsidR="00AD18FB" w:rsidRPr="00AD18FB">
        <w:rPr>
          <w:lang w:val="de-DE"/>
        </w:rPr>
        <w:t xml:space="preserve">das gleiche </w:t>
      </w:r>
      <w:r w:rsidR="00AD18FB" w:rsidRPr="006328FF">
        <w:rPr>
          <w:lang w:val="de-DE"/>
        </w:rPr>
        <w:t>Datenkabel</w:t>
      </w:r>
      <w:r w:rsidR="00AD18FB" w:rsidRPr="00AD18FB">
        <w:rPr>
          <w:lang w:val="de-DE"/>
        </w:rPr>
        <w:t xml:space="preserve"> wie </w:t>
      </w:r>
      <w:r w:rsidR="00FE3DAE">
        <w:rPr>
          <w:lang w:val="de-DE"/>
        </w:rPr>
        <w:t xml:space="preserve">ein </w:t>
      </w:r>
      <w:r w:rsidR="00AD18FB" w:rsidRPr="00AD18FB">
        <w:rPr>
          <w:lang w:val="de-DE"/>
        </w:rPr>
        <w:t>Computer</w:t>
      </w:r>
      <w:r w:rsidR="00FE3DAE">
        <w:rPr>
          <w:lang w:val="de-DE"/>
        </w:rPr>
        <w:t xml:space="preserve"> im LAN-Betrieb</w:t>
      </w:r>
      <w:r w:rsidR="00AD18FB" w:rsidRPr="00AD18FB">
        <w:rPr>
          <w:lang w:val="de-DE"/>
        </w:rPr>
        <w:t>.</w:t>
      </w:r>
      <w:r>
        <w:rPr>
          <w:lang w:val="de-DE"/>
        </w:rPr>
        <w:t xml:space="preserve"> </w:t>
      </w:r>
      <w:r w:rsidR="001E4A09">
        <w:rPr>
          <w:lang w:val="de-DE"/>
        </w:rPr>
        <w:t xml:space="preserve">Jedoch </w:t>
      </w:r>
      <w:r w:rsidRPr="006328FF">
        <w:rPr>
          <w:lang w:val="de-DE"/>
        </w:rPr>
        <w:t>d</w:t>
      </w:r>
      <w:r w:rsidR="00AD18FB" w:rsidRPr="006328FF">
        <w:rPr>
          <w:lang w:val="de-DE"/>
        </w:rPr>
        <w:t>ien</w:t>
      </w:r>
      <w:r w:rsidRPr="006328FF">
        <w:rPr>
          <w:lang w:val="de-DE"/>
        </w:rPr>
        <w:t>t</w:t>
      </w:r>
      <w:r w:rsidR="001E4A09">
        <w:rPr>
          <w:lang w:val="de-DE"/>
        </w:rPr>
        <w:t xml:space="preserve"> es</w:t>
      </w:r>
      <w:r w:rsidR="00AD18FB" w:rsidRPr="00AD18FB">
        <w:rPr>
          <w:lang w:val="de-DE"/>
        </w:rPr>
        <w:t xml:space="preserve"> außer zur Datenübe</w:t>
      </w:r>
      <w:r w:rsidR="00AD18FB" w:rsidRPr="00AD18FB">
        <w:rPr>
          <w:lang w:val="de-DE"/>
        </w:rPr>
        <w:t>r</w:t>
      </w:r>
      <w:r w:rsidR="00AD18FB" w:rsidRPr="00AD18FB">
        <w:rPr>
          <w:lang w:val="de-DE"/>
        </w:rPr>
        <w:t xml:space="preserve">tragung </w:t>
      </w:r>
      <w:r w:rsidR="001E4A09">
        <w:rPr>
          <w:lang w:val="de-DE"/>
        </w:rPr>
        <w:t>gleichzeitig</w:t>
      </w:r>
      <w:r w:rsidR="00AD18FB" w:rsidRPr="00AD18FB">
        <w:rPr>
          <w:lang w:val="de-DE"/>
        </w:rPr>
        <w:t xml:space="preserve"> zur Versorgung der Büroleuchten mit der nötigen Betriebsspannung. Die Leuchten werden dadurch zu einem Gerät im </w:t>
      </w:r>
      <w:r w:rsidR="00AB343B">
        <w:rPr>
          <w:lang w:val="de-DE"/>
        </w:rPr>
        <w:t>Netzwerk, das die Mitarbeiter an</w:t>
      </w:r>
      <w:r w:rsidR="00AD18FB" w:rsidRPr="00AD18FB">
        <w:rPr>
          <w:lang w:val="de-DE"/>
        </w:rPr>
        <w:t xml:space="preserve"> ihrem Arbeit</w:t>
      </w:r>
      <w:r w:rsidR="00AD18FB" w:rsidRPr="00AD18FB">
        <w:rPr>
          <w:lang w:val="de-DE"/>
        </w:rPr>
        <w:t>s</w:t>
      </w:r>
      <w:r w:rsidR="001E4A09">
        <w:rPr>
          <w:lang w:val="de-DE"/>
        </w:rPr>
        <w:t>platz mit dem</w:t>
      </w:r>
      <w:r w:rsidR="00AD18FB" w:rsidRPr="00AD18FB">
        <w:rPr>
          <w:lang w:val="de-DE"/>
        </w:rPr>
        <w:t xml:space="preserve"> Smartphone </w:t>
      </w:r>
      <w:r w:rsidR="003F62D4">
        <w:rPr>
          <w:lang w:val="de-DE"/>
        </w:rPr>
        <w:t xml:space="preserve">und mit Hilfe einer App </w:t>
      </w:r>
      <w:r w:rsidR="00AD18FB" w:rsidRPr="00AD18FB">
        <w:rPr>
          <w:lang w:val="de-DE"/>
        </w:rPr>
        <w:t>individuell einstellen können.</w:t>
      </w:r>
    </w:p>
    <w:p w:rsidR="00AD18FB" w:rsidRPr="00AD18FB" w:rsidRDefault="00AD18FB" w:rsidP="00AD18FB">
      <w:pPr>
        <w:rPr>
          <w:lang w:val="de-DE"/>
        </w:rPr>
      </w:pPr>
    </w:p>
    <w:p w:rsidR="00AD18FB" w:rsidRPr="00AD18FB" w:rsidRDefault="003F62D4" w:rsidP="00AD18FB">
      <w:pPr>
        <w:rPr>
          <w:lang w:val="de-DE"/>
        </w:rPr>
      </w:pPr>
      <w:r>
        <w:rPr>
          <w:lang w:val="de-DE"/>
        </w:rPr>
        <w:t xml:space="preserve">Sind die </w:t>
      </w:r>
      <w:r w:rsidR="00D77FE1">
        <w:rPr>
          <w:lang w:val="de-DE"/>
        </w:rPr>
        <w:t xml:space="preserve">jeweils </w:t>
      </w:r>
      <w:r w:rsidR="00AD18FB" w:rsidRPr="00AD18FB">
        <w:rPr>
          <w:lang w:val="de-DE"/>
        </w:rPr>
        <w:t>gewünschte</w:t>
      </w:r>
      <w:r w:rsidR="00D77FE1">
        <w:rPr>
          <w:lang w:val="de-DE"/>
        </w:rPr>
        <w:t>n</w:t>
      </w:r>
      <w:r w:rsidR="00AD18FB" w:rsidRPr="00AD18FB">
        <w:rPr>
          <w:lang w:val="de-DE"/>
        </w:rPr>
        <w:t xml:space="preserve"> Lichtstim</w:t>
      </w:r>
      <w:r w:rsidR="00D20B3E">
        <w:rPr>
          <w:lang w:val="de-DE"/>
        </w:rPr>
        <w:t>mung</w:t>
      </w:r>
      <w:r w:rsidR="00D77FE1">
        <w:rPr>
          <w:lang w:val="de-DE"/>
        </w:rPr>
        <w:t>en</w:t>
      </w:r>
      <w:r>
        <w:rPr>
          <w:lang w:val="de-DE"/>
        </w:rPr>
        <w:t xml:space="preserve"> ausgewählt, </w:t>
      </w:r>
      <w:r w:rsidR="00AD18FB" w:rsidRPr="00AD18FB">
        <w:rPr>
          <w:lang w:val="de-DE"/>
        </w:rPr>
        <w:t>speichert sie</w:t>
      </w:r>
      <w:r w:rsidRPr="003F62D4">
        <w:rPr>
          <w:lang w:val="de-DE"/>
        </w:rPr>
        <w:t xml:space="preserve"> </w:t>
      </w:r>
      <w:r>
        <w:rPr>
          <w:lang w:val="de-DE"/>
        </w:rPr>
        <w:t>d</w:t>
      </w:r>
      <w:r w:rsidRPr="00AD18FB">
        <w:rPr>
          <w:lang w:val="de-DE"/>
        </w:rPr>
        <w:t>as System</w:t>
      </w:r>
      <w:r>
        <w:rPr>
          <w:lang w:val="de-DE"/>
        </w:rPr>
        <w:t xml:space="preserve"> ab</w:t>
      </w:r>
      <w:r w:rsidR="00D20B3E">
        <w:rPr>
          <w:lang w:val="de-DE"/>
        </w:rPr>
        <w:t xml:space="preserve">, so dass sie </w:t>
      </w:r>
      <w:r w:rsidR="00AD18FB" w:rsidRPr="00AD18FB">
        <w:rPr>
          <w:lang w:val="de-DE"/>
        </w:rPr>
        <w:t>jederzeit wieder abrufbar</w:t>
      </w:r>
      <w:r w:rsidR="00D20B3E">
        <w:rPr>
          <w:lang w:val="de-DE"/>
        </w:rPr>
        <w:t xml:space="preserve"> sind</w:t>
      </w:r>
      <w:r w:rsidR="00AD18FB" w:rsidRPr="00AD18FB">
        <w:rPr>
          <w:lang w:val="de-DE"/>
        </w:rPr>
        <w:t xml:space="preserve">, </w:t>
      </w:r>
      <w:r w:rsidR="00C35499">
        <w:rPr>
          <w:lang w:val="de-DE"/>
        </w:rPr>
        <w:t xml:space="preserve">unabhängig davon, wo sich der aktuelle </w:t>
      </w:r>
      <w:r w:rsidR="00AD18FB" w:rsidRPr="00AD18FB">
        <w:rPr>
          <w:lang w:val="de-DE"/>
        </w:rPr>
        <w:t xml:space="preserve">Arbeitsplatz </w:t>
      </w:r>
      <w:r w:rsidR="00C35499">
        <w:rPr>
          <w:lang w:val="de-DE"/>
        </w:rPr>
        <w:t>i</w:t>
      </w:r>
      <w:r w:rsidR="00AD18FB" w:rsidRPr="00AD18FB">
        <w:rPr>
          <w:lang w:val="de-DE"/>
        </w:rPr>
        <w:t>m Gebäude befin</w:t>
      </w:r>
      <w:r w:rsidR="00C35499">
        <w:rPr>
          <w:lang w:val="de-DE"/>
        </w:rPr>
        <w:t>det.</w:t>
      </w:r>
      <w:r w:rsidR="00D20B3E">
        <w:rPr>
          <w:lang w:val="de-DE"/>
        </w:rPr>
        <w:t xml:space="preserve"> </w:t>
      </w:r>
      <w:r w:rsidR="000625CA">
        <w:rPr>
          <w:lang w:val="de-DE"/>
        </w:rPr>
        <w:t>Damit der Datenstrom auch dort ankommt, wo er benötigt wird, ve</w:t>
      </w:r>
      <w:r w:rsidR="000625CA">
        <w:rPr>
          <w:lang w:val="de-DE"/>
        </w:rPr>
        <w:t>r</w:t>
      </w:r>
      <w:r w:rsidR="000625CA">
        <w:rPr>
          <w:lang w:val="de-DE"/>
        </w:rPr>
        <w:t>fügt j</w:t>
      </w:r>
      <w:r w:rsidR="00AD18FB" w:rsidRPr="00AD18FB">
        <w:rPr>
          <w:lang w:val="de-DE"/>
        </w:rPr>
        <w:t xml:space="preserve">ede </w:t>
      </w:r>
      <w:proofErr w:type="spellStart"/>
      <w:r w:rsidR="00AD18FB" w:rsidRPr="00AD18FB">
        <w:rPr>
          <w:lang w:val="de-DE"/>
        </w:rPr>
        <w:t>PoE</w:t>
      </w:r>
      <w:proofErr w:type="spellEnd"/>
      <w:r w:rsidR="00AD18FB" w:rsidRPr="00AD18FB">
        <w:rPr>
          <w:lang w:val="de-DE"/>
        </w:rPr>
        <w:t xml:space="preserve">-Leuchte über eine eigene IP-Adresse. Die Interaktion zwischen dem Smartphone und der Deckenbeleuchtung </w:t>
      </w:r>
      <w:r w:rsidR="00D77FE1">
        <w:rPr>
          <w:lang w:val="de-DE"/>
        </w:rPr>
        <w:t xml:space="preserve">erfolgt </w:t>
      </w:r>
      <w:r w:rsidR="00AD18FB" w:rsidRPr="00AD18FB">
        <w:rPr>
          <w:lang w:val="de-DE"/>
        </w:rPr>
        <w:t>kabellos</w:t>
      </w:r>
      <w:r w:rsidR="00D77FE1">
        <w:rPr>
          <w:lang w:val="de-DE"/>
        </w:rPr>
        <w:t xml:space="preserve"> </w:t>
      </w:r>
      <w:r w:rsidR="00DB6626">
        <w:rPr>
          <w:lang w:val="de-DE"/>
        </w:rPr>
        <w:t>per codierte</w:t>
      </w:r>
      <w:r w:rsidR="00F21B89">
        <w:rPr>
          <w:lang w:val="de-DE"/>
        </w:rPr>
        <w:t>m</w:t>
      </w:r>
      <w:r w:rsidR="00DB6626">
        <w:rPr>
          <w:lang w:val="de-DE"/>
        </w:rPr>
        <w:t xml:space="preserve"> Licht </w:t>
      </w:r>
      <w:r w:rsidR="00D77FE1">
        <w:rPr>
          <w:lang w:val="de-DE"/>
        </w:rPr>
        <w:t>über entsprechende Ko</w:t>
      </w:r>
      <w:r w:rsidR="00D77FE1">
        <w:rPr>
          <w:lang w:val="de-DE"/>
        </w:rPr>
        <w:t>m</w:t>
      </w:r>
      <w:r w:rsidR="00D77FE1">
        <w:rPr>
          <w:lang w:val="de-DE"/>
        </w:rPr>
        <w:t>munikationsschnittstellen</w:t>
      </w:r>
      <w:r w:rsidR="00AD18FB" w:rsidRPr="00AD18FB">
        <w:rPr>
          <w:lang w:val="de-DE"/>
        </w:rPr>
        <w:t xml:space="preserve">, die in </w:t>
      </w:r>
      <w:r w:rsidR="000625CA">
        <w:rPr>
          <w:lang w:val="de-DE"/>
        </w:rPr>
        <w:t>d</w:t>
      </w:r>
      <w:r w:rsidR="00B64AD3">
        <w:rPr>
          <w:lang w:val="de-DE"/>
        </w:rPr>
        <w:t>en</w:t>
      </w:r>
      <w:r w:rsidR="000625CA">
        <w:rPr>
          <w:lang w:val="de-DE"/>
        </w:rPr>
        <w:t xml:space="preserve"> </w:t>
      </w:r>
      <w:r w:rsidR="00AD18FB" w:rsidRPr="00AD18FB">
        <w:rPr>
          <w:lang w:val="de-DE"/>
        </w:rPr>
        <w:t>Leuchte</w:t>
      </w:r>
      <w:r w:rsidR="000625CA">
        <w:rPr>
          <w:lang w:val="de-DE"/>
        </w:rPr>
        <w:t>n</w:t>
      </w:r>
      <w:r w:rsidR="0055753F">
        <w:rPr>
          <w:lang w:val="de-DE"/>
        </w:rPr>
        <w:t xml:space="preserve"> integriert sind.</w:t>
      </w:r>
    </w:p>
    <w:p w:rsidR="00904CCB" w:rsidRPr="00AD18FB" w:rsidRDefault="00904CCB" w:rsidP="00AD18FB">
      <w:pPr>
        <w:rPr>
          <w:lang w:val="de-DE"/>
        </w:rPr>
      </w:pPr>
    </w:p>
    <w:p w:rsidR="002A3105" w:rsidRPr="00AD18FB" w:rsidRDefault="002A3105" w:rsidP="002A3105">
      <w:pPr>
        <w:rPr>
          <w:b/>
          <w:lang w:val="de-DE"/>
        </w:rPr>
      </w:pPr>
      <w:r w:rsidRPr="00AD18FB">
        <w:rPr>
          <w:b/>
          <w:lang w:val="de-DE"/>
        </w:rPr>
        <w:t>Internet der Dinge</w:t>
      </w:r>
    </w:p>
    <w:p w:rsidR="002A3105" w:rsidRPr="00AD18FB" w:rsidRDefault="002A3105" w:rsidP="002A3105">
      <w:pPr>
        <w:rPr>
          <w:lang w:val="de-DE"/>
        </w:rPr>
      </w:pPr>
      <w:r>
        <w:rPr>
          <w:lang w:val="de-DE"/>
        </w:rPr>
        <w:t>„</w:t>
      </w:r>
      <w:r w:rsidRPr="00AD18FB">
        <w:rPr>
          <w:lang w:val="de-DE"/>
        </w:rPr>
        <w:t xml:space="preserve">Das </w:t>
      </w:r>
      <w:proofErr w:type="spellStart"/>
      <w:r>
        <w:rPr>
          <w:lang w:val="de-DE"/>
        </w:rPr>
        <w:t>PoE</w:t>
      </w:r>
      <w:proofErr w:type="spellEnd"/>
      <w:r>
        <w:rPr>
          <w:lang w:val="de-DE"/>
        </w:rPr>
        <w:t xml:space="preserve">-Beleuchtungssystem </w:t>
      </w:r>
      <w:r w:rsidRPr="00AD18FB">
        <w:rPr>
          <w:lang w:val="de-DE"/>
        </w:rPr>
        <w:t>ist eine Erweiterung des Internets der Dinge im Büro</w:t>
      </w:r>
      <w:r>
        <w:rPr>
          <w:lang w:val="de-DE"/>
        </w:rPr>
        <w:t xml:space="preserve">“, sagt Roger Karner, Geschäftsführer der Philips </w:t>
      </w:r>
      <w:r w:rsidR="00CE0772">
        <w:rPr>
          <w:lang w:val="de-DE"/>
        </w:rPr>
        <w:t xml:space="preserve">Lighting </w:t>
      </w:r>
      <w:r>
        <w:rPr>
          <w:lang w:val="de-DE"/>
        </w:rPr>
        <w:t>GmbH</w:t>
      </w:r>
      <w:r w:rsidRPr="00AD18FB">
        <w:rPr>
          <w:lang w:val="de-DE"/>
        </w:rPr>
        <w:t xml:space="preserve">. </w:t>
      </w:r>
      <w:r w:rsidR="00B64AD3">
        <w:rPr>
          <w:lang w:val="de-DE"/>
        </w:rPr>
        <w:t>„</w:t>
      </w:r>
      <w:r w:rsidRPr="00AD18FB">
        <w:rPr>
          <w:lang w:val="de-DE"/>
        </w:rPr>
        <w:t xml:space="preserve">Als führendes Unternehmen im </w:t>
      </w:r>
      <w:r w:rsidR="006D2DA8">
        <w:rPr>
          <w:lang w:val="de-DE"/>
        </w:rPr>
        <w:t xml:space="preserve">Lichtmarkt und bei der vernetzten </w:t>
      </w:r>
      <w:r w:rsidRPr="00AD18FB">
        <w:rPr>
          <w:lang w:val="de-DE"/>
        </w:rPr>
        <w:t xml:space="preserve">Beleuchtung haben wir softwarebasierte </w:t>
      </w:r>
      <w:r>
        <w:rPr>
          <w:lang w:val="de-DE"/>
        </w:rPr>
        <w:t xml:space="preserve">Hilfsmittel </w:t>
      </w:r>
      <w:r w:rsidR="0064651D">
        <w:rPr>
          <w:lang w:val="de-DE"/>
        </w:rPr>
        <w:t xml:space="preserve">wie </w:t>
      </w:r>
      <w:r w:rsidR="00CE0772">
        <w:rPr>
          <w:lang w:val="de-DE"/>
        </w:rPr>
        <w:t>S</w:t>
      </w:r>
      <w:r w:rsidR="0064651D">
        <w:rPr>
          <w:lang w:val="de-DE"/>
        </w:rPr>
        <w:t xml:space="preserve">ensor-Panel </w:t>
      </w:r>
      <w:r w:rsidRPr="00AD18FB">
        <w:rPr>
          <w:lang w:val="de-DE"/>
        </w:rPr>
        <w:t>entwickelt, üb</w:t>
      </w:r>
      <w:r w:rsidR="00A7117D">
        <w:rPr>
          <w:lang w:val="de-DE"/>
        </w:rPr>
        <w:t xml:space="preserve">er die sich das </w:t>
      </w:r>
      <w:r w:rsidR="006D2DA8">
        <w:rPr>
          <w:lang w:val="de-DE"/>
        </w:rPr>
        <w:t xml:space="preserve">Licht am Arbeitsplatz </w:t>
      </w:r>
      <w:r w:rsidR="00A7117D">
        <w:rPr>
          <w:lang w:val="de-DE"/>
        </w:rPr>
        <w:t>intuitiv ein</w:t>
      </w:r>
      <w:r w:rsidRPr="00AD18FB">
        <w:rPr>
          <w:lang w:val="de-DE"/>
        </w:rPr>
        <w:t>richte</w:t>
      </w:r>
      <w:r w:rsidR="00A7117D">
        <w:rPr>
          <w:lang w:val="de-DE"/>
        </w:rPr>
        <w:t xml:space="preserve">n und </w:t>
      </w:r>
      <w:r w:rsidRPr="00AD18FB">
        <w:rPr>
          <w:lang w:val="de-DE"/>
        </w:rPr>
        <w:t>ste</w:t>
      </w:r>
      <w:r w:rsidRPr="00AD18FB">
        <w:rPr>
          <w:lang w:val="de-DE"/>
        </w:rPr>
        <w:t>u</w:t>
      </w:r>
      <w:r w:rsidRPr="00AD18FB">
        <w:rPr>
          <w:lang w:val="de-DE"/>
        </w:rPr>
        <w:lastRenderedPageBreak/>
        <w:t>er</w:t>
      </w:r>
      <w:r w:rsidR="00A7117D">
        <w:rPr>
          <w:lang w:val="de-DE"/>
        </w:rPr>
        <w:t>n lässt</w:t>
      </w:r>
      <w:r w:rsidRPr="00AD18FB">
        <w:rPr>
          <w:lang w:val="de-DE"/>
        </w:rPr>
        <w:t xml:space="preserve"> </w:t>
      </w:r>
      <w:r w:rsidR="00A7117D">
        <w:rPr>
          <w:lang w:val="de-DE"/>
        </w:rPr>
        <w:t>u</w:t>
      </w:r>
      <w:r w:rsidR="00F81A56">
        <w:rPr>
          <w:lang w:val="de-DE"/>
        </w:rPr>
        <w:t xml:space="preserve">nd </w:t>
      </w:r>
      <w:r w:rsidR="00F81A56" w:rsidRPr="00A7117D">
        <w:rPr>
          <w:lang w:val="de-DE"/>
        </w:rPr>
        <w:t>Daten abgerufen werden</w:t>
      </w:r>
      <w:r w:rsidR="00A7117D">
        <w:rPr>
          <w:lang w:val="de-DE"/>
        </w:rPr>
        <w:t xml:space="preserve"> können. </w:t>
      </w:r>
      <w:r w:rsidR="00694CBB">
        <w:rPr>
          <w:lang w:val="de-DE"/>
        </w:rPr>
        <w:t>Zu</w:t>
      </w:r>
      <w:r w:rsidR="000F5956">
        <w:rPr>
          <w:lang w:val="de-DE"/>
        </w:rPr>
        <w:t>dem la</w:t>
      </w:r>
      <w:r w:rsidR="00CE0772">
        <w:rPr>
          <w:lang w:val="de-DE"/>
        </w:rPr>
        <w:t>ss</w:t>
      </w:r>
      <w:r w:rsidR="000F5956">
        <w:rPr>
          <w:lang w:val="de-DE"/>
        </w:rPr>
        <w:t>en</w:t>
      </w:r>
      <w:r w:rsidR="00D9238D">
        <w:rPr>
          <w:lang w:val="de-DE"/>
        </w:rPr>
        <w:t xml:space="preserve"> sich auch das Mobiltelefon und eine entsprechende App nutzen, mit der sich Arbeitsplätze oder Konferenzräume suchen und buchen lassen und </w:t>
      </w:r>
      <w:r w:rsidR="003232F0">
        <w:rPr>
          <w:lang w:val="de-DE"/>
        </w:rPr>
        <w:t xml:space="preserve">den Nutzer </w:t>
      </w:r>
      <w:r w:rsidR="00D9238D">
        <w:rPr>
          <w:lang w:val="de-DE"/>
        </w:rPr>
        <w:t xml:space="preserve">zugleich im Bürogebäude </w:t>
      </w:r>
      <w:r w:rsidR="003232F0">
        <w:rPr>
          <w:lang w:val="de-DE"/>
        </w:rPr>
        <w:t>navigiert.</w:t>
      </w:r>
      <w:r w:rsidR="00D9238D">
        <w:rPr>
          <w:lang w:val="de-DE"/>
        </w:rPr>
        <w:t xml:space="preserve"> </w:t>
      </w:r>
      <w:r w:rsidRPr="00AD18FB">
        <w:rPr>
          <w:lang w:val="de-DE"/>
        </w:rPr>
        <w:t xml:space="preserve">Das Ergebnis </w:t>
      </w:r>
      <w:r w:rsidR="00F95240">
        <w:rPr>
          <w:lang w:val="de-DE"/>
        </w:rPr>
        <w:t>ist</w:t>
      </w:r>
      <w:r w:rsidRPr="00AD18FB">
        <w:rPr>
          <w:lang w:val="de-DE"/>
        </w:rPr>
        <w:t xml:space="preserve"> individue</w:t>
      </w:r>
      <w:r w:rsidRPr="00AD18FB">
        <w:rPr>
          <w:lang w:val="de-DE"/>
        </w:rPr>
        <w:t>l</w:t>
      </w:r>
      <w:r w:rsidRPr="00AD18FB">
        <w:rPr>
          <w:lang w:val="de-DE"/>
        </w:rPr>
        <w:t>le</w:t>
      </w:r>
      <w:r w:rsidR="00F95240">
        <w:rPr>
          <w:lang w:val="de-DE"/>
        </w:rPr>
        <w:t>s Licht</w:t>
      </w:r>
      <w:r w:rsidRPr="00AD18FB">
        <w:rPr>
          <w:lang w:val="de-DE"/>
        </w:rPr>
        <w:t xml:space="preserve"> mit hoher Energieeffizienz </w:t>
      </w:r>
      <w:r w:rsidR="00C32387">
        <w:rPr>
          <w:lang w:val="de-DE"/>
        </w:rPr>
        <w:t xml:space="preserve">für Büroarbeitsplätze </w:t>
      </w:r>
      <w:r w:rsidRPr="00AD18FB">
        <w:rPr>
          <w:lang w:val="de-DE"/>
        </w:rPr>
        <w:t>und nützliche Echtzeit-Daten für</w:t>
      </w:r>
      <w:r w:rsidR="00F95240">
        <w:rPr>
          <w:lang w:val="de-DE"/>
        </w:rPr>
        <w:t xml:space="preserve"> Arbeitnehmer und </w:t>
      </w:r>
      <w:r w:rsidRPr="00AD18FB">
        <w:rPr>
          <w:lang w:val="de-DE"/>
        </w:rPr>
        <w:t>Gebäudemanager</w:t>
      </w:r>
      <w:r w:rsidR="00C32387">
        <w:rPr>
          <w:lang w:val="de-DE"/>
        </w:rPr>
        <w:t xml:space="preserve"> zur Gebäudenutzung</w:t>
      </w:r>
      <w:r w:rsidR="00F81A56">
        <w:rPr>
          <w:lang w:val="de-DE"/>
        </w:rPr>
        <w:t xml:space="preserve">. </w:t>
      </w:r>
      <w:r w:rsidRPr="00AD18FB">
        <w:rPr>
          <w:lang w:val="de-DE"/>
        </w:rPr>
        <w:t xml:space="preserve">Das macht uns zu einem wichtigen Partner für die Bereitstellung </w:t>
      </w:r>
      <w:r w:rsidR="003232F0">
        <w:rPr>
          <w:lang w:val="de-DE"/>
        </w:rPr>
        <w:t>smarter</w:t>
      </w:r>
      <w:r w:rsidRPr="00AD18FB">
        <w:rPr>
          <w:lang w:val="de-DE"/>
        </w:rPr>
        <w:t xml:space="preserve"> Beleuchtungssysteme, die den </w:t>
      </w:r>
      <w:r w:rsidR="003232F0">
        <w:rPr>
          <w:lang w:val="de-DE"/>
        </w:rPr>
        <w:t xml:space="preserve">Anwendern </w:t>
      </w:r>
      <w:r w:rsidR="00F81A56">
        <w:rPr>
          <w:lang w:val="de-DE"/>
        </w:rPr>
        <w:t xml:space="preserve">weit </w:t>
      </w:r>
      <w:r w:rsidR="00F81A56" w:rsidRPr="00AD18FB">
        <w:rPr>
          <w:lang w:val="de-DE"/>
        </w:rPr>
        <w:t xml:space="preserve">über die Beleuchtung hinaus </w:t>
      </w:r>
      <w:r w:rsidR="00F81A56">
        <w:rPr>
          <w:lang w:val="de-DE"/>
        </w:rPr>
        <w:t xml:space="preserve">konkrete </w:t>
      </w:r>
      <w:r w:rsidRPr="00AD18FB">
        <w:rPr>
          <w:lang w:val="de-DE"/>
        </w:rPr>
        <w:t>Mehrwert</w:t>
      </w:r>
      <w:r w:rsidR="003232F0">
        <w:rPr>
          <w:lang w:val="de-DE"/>
        </w:rPr>
        <w:t>e</w:t>
      </w:r>
      <w:r w:rsidRPr="00AD18FB">
        <w:rPr>
          <w:lang w:val="de-DE"/>
        </w:rPr>
        <w:t xml:space="preserve"> bie</w:t>
      </w:r>
      <w:r w:rsidR="00F81A56">
        <w:rPr>
          <w:lang w:val="de-DE"/>
        </w:rPr>
        <w:t>ten.“</w:t>
      </w:r>
    </w:p>
    <w:p w:rsidR="002A3105" w:rsidRDefault="002A3105" w:rsidP="00C262C1">
      <w:pPr>
        <w:rPr>
          <w:rFonts w:cs="Calibri"/>
          <w:szCs w:val="22"/>
          <w:lang w:val="de-DE" w:eastAsia="en-US"/>
        </w:rPr>
      </w:pPr>
    </w:p>
    <w:p w:rsidR="00320CC3" w:rsidRDefault="00320CC3" w:rsidP="00320CC3">
      <w:pPr>
        <w:spacing w:line="255" w:lineRule="atLeast"/>
        <w:rPr>
          <w:rFonts w:cs="Calibri"/>
          <w:b/>
          <w:szCs w:val="22"/>
          <w:lang w:val="de-DE" w:bidi="de-DE"/>
        </w:rPr>
      </w:pPr>
      <w:r>
        <w:rPr>
          <w:rFonts w:cs="Calibri"/>
          <w:b/>
          <w:szCs w:val="22"/>
          <w:lang w:val="de-DE" w:bidi="de-DE"/>
        </w:rPr>
        <w:t xml:space="preserve">Hohes Einsparpotenzial </w:t>
      </w:r>
    </w:p>
    <w:p w:rsidR="00B501A0" w:rsidRDefault="00B501A0" w:rsidP="00320CC3">
      <w:pPr>
        <w:spacing w:line="255" w:lineRule="atLeast"/>
        <w:rPr>
          <w:rFonts w:cs="Calibri"/>
          <w:szCs w:val="22"/>
          <w:lang w:val="de-DE" w:bidi="de-DE"/>
        </w:rPr>
      </w:pPr>
      <w:r w:rsidRPr="00356B25">
        <w:rPr>
          <w:rFonts w:cs="Calibri"/>
          <w:szCs w:val="22"/>
          <w:lang w:val="de-DE" w:bidi="de-DE"/>
        </w:rPr>
        <w:t>Das vernetzte Beleuchtungssystem von Philips mit zugrunde liegender „Power-</w:t>
      </w:r>
      <w:proofErr w:type="spellStart"/>
      <w:r w:rsidRPr="00356B25">
        <w:rPr>
          <w:rFonts w:cs="Calibri"/>
          <w:szCs w:val="22"/>
          <w:lang w:val="de-DE" w:bidi="de-DE"/>
        </w:rPr>
        <w:t>over</w:t>
      </w:r>
      <w:proofErr w:type="spellEnd"/>
      <w:r w:rsidRPr="00356B25">
        <w:rPr>
          <w:rFonts w:cs="Calibri"/>
          <w:szCs w:val="22"/>
          <w:lang w:val="de-DE" w:bidi="de-DE"/>
        </w:rPr>
        <w:t>-Ethernet“-Technologie kann bei verschiedenen Gebäude</w:t>
      </w:r>
      <w:r>
        <w:rPr>
          <w:rFonts w:cs="Calibri"/>
          <w:szCs w:val="22"/>
          <w:lang w:val="de-DE" w:bidi="de-DE"/>
        </w:rPr>
        <w:t>management</w:t>
      </w:r>
      <w:r w:rsidRPr="00356B25">
        <w:rPr>
          <w:rFonts w:cs="Calibri"/>
          <w:szCs w:val="22"/>
          <w:lang w:val="de-DE" w:bidi="de-DE"/>
        </w:rPr>
        <w:t>diensten zur Steigerung der betrieblichen Effizienz beitragen:</w:t>
      </w:r>
    </w:p>
    <w:p w:rsidR="00B501A0" w:rsidRPr="00356B25" w:rsidRDefault="00B501A0" w:rsidP="00B501A0">
      <w:pPr>
        <w:rPr>
          <w:rFonts w:cs="Calibri"/>
          <w:iCs/>
          <w:szCs w:val="22"/>
          <w:lang w:val="de-DE" w:bidi="de-DE"/>
        </w:rPr>
      </w:pPr>
    </w:p>
    <w:p w:rsidR="00B501A0" w:rsidRPr="00611576" w:rsidRDefault="00B501A0" w:rsidP="00B501A0">
      <w:pPr>
        <w:numPr>
          <w:ilvl w:val="0"/>
          <w:numId w:val="3"/>
        </w:numPr>
        <w:tabs>
          <w:tab w:val="num" w:pos="720"/>
        </w:tabs>
        <w:ind w:left="0" w:firstLine="0"/>
        <w:rPr>
          <w:rFonts w:cs="Calibri"/>
          <w:iCs/>
          <w:szCs w:val="22"/>
          <w:lang w:val="de-DE" w:bidi="de-DE"/>
        </w:rPr>
      </w:pPr>
      <w:r w:rsidRPr="00356B25">
        <w:rPr>
          <w:rFonts w:cs="Calibri"/>
          <w:b/>
          <w:szCs w:val="22"/>
          <w:lang w:val="de-DE" w:bidi="de-DE"/>
        </w:rPr>
        <w:t>Beleuchtung:</w:t>
      </w:r>
      <w:r>
        <w:rPr>
          <w:rFonts w:cs="Calibri"/>
          <w:szCs w:val="22"/>
          <w:lang w:val="de-DE" w:bidi="de-DE"/>
        </w:rPr>
        <w:t xml:space="preserve"> Verbraucht 40 Prozent</w:t>
      </w:r>
      <w:r w:rsidRPr="00356B25">
        <w:rPr>
          <w:rFonts w:cs="Calibri"/>
          <w:szCs w:val="22"/>
          <w:lang w:val="de-DE" w:bidi="de-DE"/>
        </w:rPr>
        <w:t xml:space="preserve"> des Strom</w:t>
      </w:r>
      <w:r>
        <w:rPr>
          <w:rFonts w:cs="Calibri"/>
          <w:szCs w:val="22"/>
          <w:lang w:val="de-DE" w:bidi="de-DE"/>
        </w:rPr>
        <w:t>s eines Gebäudes. Die vernetzte</w:t>
      </w:r>
    </w:p>
    <w:p w:rsidR="00B501A0" w:rsidRDefault="00B501A0" w:rsidP="00B501A0">
      <w:pPr>
        <w:tabs>
          <w:tab w:val="num" w:pos="720"/>
        </w:tabs>
        <w:ind w:left="426"/>
        <w:rPr>
          <w:rFonts w:cs="Calibri"/>
          <w:szCs w:val="22"/>
          <w:lang w:val="de-DE" w:bidi="de-DE"/>
        </w:rPr>
      </w:pPr>
      <w:r w:rsidRPr="00611576">
        <w:rPr>
          <w:rFonts w:cs="Calibri"/>
          <w:szCs w:val="22"/>
          <w:lang w:val="de-DE" w:bidi="de-DE"/>
        </w:rPr>
        <w:t>LED-Beleuchtung ermöglicht eine Energieeinsparung bei d</w:t>
      </w:r>
      <w:r>
        <w:rPr>
          <w:rFonts w:cs="Calibri"/>
          <w:szCs w:val="22"/>
          <w:lang w:val="de-DE" w:bidi="de-DE"/>
        </w:rPr>
        <w:t>er Beleuchtung</w:t>
      </w:r>
      <w:r w:rsidR="00FA4C62">
        <w:rPr>
          <w:rFonts w:cs="Calibri"/>
          <w:szCs w:val="22"/>
          <w:lang w:val="de-DE" w:bidi="de-DE"/>
        </w:rPr>
        <w:t xml:space="preserve"> </w:t>
      </w:r>
      <w:r w:rsidRPr="00611576">
        <w:rPr>
          <w:rFonts w:cs="Calibri"/>
          <w:szCs w:val="22"/>
          <w:lang w:val="de-DE" w:bidi="de-DE"/>
        </w:rPr>
        <w:t xml:space="preserve">von bis zu </w:t>
      </w:r>
      <w:r w:rsidR="00FA4C62">
        <w:rPr>
          <w:rFonts w:cs="Calibri"/>
          <w:szCs w:val="22"/>
          <w:lang w:val="de-DE" w:bidi="de-DE"/>
        </w:rPr>
        <w:br/>
      </w:r>
      <w:r w:rsidRPr="00611576">
        <w:rPr>
          <w:rFonts w:cs="Calibri"/>
          <w:szCs w:val="22"/>
          <w:lang w:val="de-DE" w:bidi="de-DE"/>
        </w:rPr>
        <w:t xml:space="preserve">80 </w:t>
      </w:r>
      <w:r>
        <w:rPr>
          <w:rFonts w:cs="Calibri"/>
          <w:szCs w:val="22"/>
          <w:lang w:val="de-DE" w:bidi="de-DE"/>
        </w:rPr>
        <w:t>Prozent. Das</w:t>
      </w:r>
      <w:r w:rsidRPr="00356B25">
        <w:rPr>
          <w:rFonts w:cs="Calibri"/>
          <w:szCs w:val="22"/>
          <w:lang w:val="de-DE" w:bidi="de-DE"/>
        </w:rPr>
        <w:t xml:space="preserve"> entspricht einer Senkung des Gebäu</w:t>
      </w:r>
      <w:r>
        <w:rPr>
          <w:rFonts w:cs="Calibri"/>
          <w:szCs w:val="22"/>
          <w:lang w:val="de-DE" w:bidi="de-DE"/>
        </w:rPr>
        <w:t>degesamtstromverbrauchs</w:t>
      </w:r>
    </w:p>
    <w:p w:rsidR="00B501A0" w:rsidRPr="00356B25" w:rsidRDefault="00B501A0" w:rsidP="00B501A0">
      <w:pPr>
        <w:tabs>
          <w:tab w:val="num" w:pos="720"/>
        </w:tabs>
        <w:ind w:left="426"/>
        <w:rPr>
          <w:rFonts w:cs="Calibri"/>
          <w:iCs/>
          <w:szCs w:val="22"/>
          <w:lang w:val="de-DE" w:bidi="de-DE"/>
        </w:rPr>
      </w:pPr>
      <w:r>
        <w:rPr>
          <w:rFonts w:cs="Calibri"/>
          <w:szCs w:val="22"/>
          <w:lang w:val="de-DE" w:bidi="de-DE"/>
        </w:rPr>
        <w:t>von 30 Prozent</w:t>
      </w:r>
      <w:r w:rsidRPr="00356B25">
        <w:rPr>
          <w:rFonts w:cs="Calibri"/>
          <w:szCs w:val="22"/>
          <w:lang w:val="de-DE" w:bidi="de-DE"/>
        </w:rPr>
        <w:t xml:space="preserve">. </w:t>
      </w:r>
    </w:p>
    <w:p w:rsidR="00B501A0" w:rsidRPr="008815C5" w:rsidRDefault="00B501A0" w:rsidP="00B501A0">
      <w:pPr>
        <w:numPr>
          <w:ilvl w:val="0"/>
          <w:numId w:val="3"/>
        </w:numPr>
        <w:tabs>
          <w:tab w:val="num" w:pos="720"/>
        </w:tabs>
        <w:ind w:left="0" w:firstLine="0"/>
        <w:rPr>
          <w:rFonts w:cs="Calibri"/>
          <w:iCs/>
          <w:szCs w:val="22"/>
          <w:lang w:val="de-DE" w:bidi="de-DE"/>
        </w:rPr>
      </w:pPr>
      <w:r w:rsidRPr="00356B25">
        <w:rPr>
          <w:rFonts w:cs="Calibri"/>
          <w:b/>
          <w:szCs w:val="22"/>
          <w:lang w:val="de-DE" w:bidi="de-DE"/>
        </w:rPr>
        <w:t>Reinigung:</w:t>
      </w:r>
      <w:r w:rsidRPr="00356B25">
        <w:rPr>
          <w:rFonts w:cs="Calibri"/>
          <w:szCs w:val="22"/>
          <w:lang w:val="de-DE" w:bidi="de-DE"/>
        </w:rPr>
        <w:t xml:space="preserve"> Mit dem </w:t>
      </w:r>
      <w:proofErr w:type="spellStart"/>
      <w:r w:rsidRPr="00356B25">
        <w:rPr>
          <w:rFonts w:cs="Calibri"/>
          <w:szCs w:val="22"/>
          <w:lang w:val="de-DE" w:bidi="de-DE"/>
        </w:rPr>
        <w:t>PoE</w:t>
      </w:r>
      <w:proofErr w:type="spellEnd"/>
      <w:r w:rsidRPr="00356B25">
        <w:rPr>
          <w:rFonts w:cs="Calibri"/>
          <w:szCs w:val="22"/>
          <w:lang w:val="de-DE" w:bidi="de-DE"/>
        </w:rPr>
        <w:t xml:space="preserve">-basierten, vernetzten Beleuchtungssystem </w:t>
      </w:r>
      <w:r>
        <w:rPr>
          <w:rFonts w:cs="Calibri"/>
          <w:szCs w:val="22"/>
          <w:lang w:val="de-DE" w:bidi="de-DE"/>
        </w:rPr>
        <w:t>lassen</w:t>
      </w:r>
      <w:r w:rsidR="00FA4C62">
        <w:rPr>
          <w:rFonts w:cs="Calibri"/>
          <w:szCs w:val="22"/>
          <w:lang w:val="de-DE" w:bidi="de-DE"/>
        </w:rPr>
        <w:t xml:space="preserve"> sich die</w:t>
      </w:r>
    </w:p>
    <w:p w:rsidR="00B501A0" w:rsidRPr="00356B25" w:rsidRDefault="00B501A0" w:rsidP="00B501A0">
      <w:pPr>
        <w:ind w:left="426"/>
        <w:rPr>
          <w:rFonts w:cs="Calibri"/>
          <w:iCs/>
          <w:szCs w:val="22"/>
          <w:lang w:val="de-DE" w:bidi="de-DE"/>
        </w:rPr>
      </w:pPr>
      <w:r w:rsidRPr="00356B25">
        <w:rPr>
          <w:rFonts w:cs="Calibri"/>
          <w:szCs w:val="22"/>
          <w:lang w:val="de-DE" w:bidi="de-DE"/>
        </w:rPr>
        <w:t>Gebäudereinigungskosten anhand von Belegungsdaten um et</w:t>
      </w:r>
      <w:r>
        <w:rPr>
          <w:rFonts w:cs="Calibri"/>
          <w:szCs w:val="22"/>
          <w:lang w:val="de-DE" w:bidi="de-DE"/>
        </w:rPr>
        <w:t>wa zehn</w:t>
      </w:r>
      <w:r w:rsidRPr="00356B25">
        <w:rPr>
          <w:rFonts w:cs="Calibri"/>
          <w:szCs w:val="22"/>
          <w:lang w:val="de-DE" w:bidi="de-DE"/>
        </w:rPr>
        <w:t xml:space="preserve"> </w:t>
      </w:r>
      <w:r>
        <w:rPr>
          <w:rFonts w:cs="Calibri"/>
          <w:szCs w:val="22"/>
          <w:lang w:val="de-DE" w:bidi="de-DE"/>
        </w:rPr>
        <w:t xml:space="preserve">Prozent </w:t>
      </w:r>
      <w:r w:rsidRPr="00356B25">
        <w:rPr>
          <w:rFonts w:cs="Calibri"/>
          <w:szCs w:val="22"/>
          <w:lang w:val="de-DE" w:bidi="de-DE"/>
        </w:rPr>
        <w:t>sen</w:t>
      </w:r>
      <w:r>
        <w:rPr>
          <w:rFonts w:cs="Calibri"/>
          <w:szCs w:val="22"/>
          <w:lang w:val="de-DE" w:bidi="de-DE"/>
        </w:rPr>
        <w:t>ken.</w:t>
      </w:r>
    </w:p>
    <w:p w:rsidR="00B501A0" w:rsidRPr="008815C5" w:rsidRDefault="00B501A0" w:rsidP="00B501A0">
      <w:pPr>
        <w:numPr>
          <w:ilvl w:val="0"/>
          <w:numId w:val="3"/>
        </w:numPr>
        <w:ind w:left="0" w:firstLine="0"/>
        <w:rPr>
          <w:rFonts w:cs="Calibri"/>
          <w:iCs/>
          <w:szCs w:val="22"/>
          <w:lang w:val="de-DE" w:bidi="de-DE"/>
        </w:rPr>
      </w:pPr>
      <w:r w:rsidRPr="00356B25">
        <w:rPr>
          <w:rFonts w:cs="Calibri"/>
          <w:b/>
          <w:szCs w:val="22"/>
          <w:lang w:val="de-DE" w:bidi="de-DE"/>
        </w:rPr>
        <w:t>Raumauslastungsoptimierung:</w:t>
      </w:r>
      <w:r w:rsidRPr="00356B25">
        <w:rPr>
          <w:rFonts w:cs="Calibri"/>
          <w:szCs w:val="22"/>
          <w:lang w:val="de-DE" w:bidi="de-DE"/>
        </w:rPr>
        <w:t xml:space="preserve"> D</w:t>
      </w:r>
      <w:r w:rsidR="00FA4C62">
        <w:rPr>
          <w:rFonts w:cs="Calibri"/>
          <w:szCs w:val="22"/>
          <w:lang w:val="de-DE" w:bidi="de-DE"/>
        </w:rPr>
        <w:t xml:space="preserve">urch die </w:t>
      </w:r>
      <w:r w:rsidRPr="00356B25">
        <w:rPr>
          <w:rFonts w:cs="Calibri"/>
          <w:szCs w:val="22"/>
          <w:lang w:val="de-DE" w:bidi="de-DE"/>
        </w:rPr>
        <w:t xml:space="preserve">mit Sensoren ausgestattete Beleuchtung </w:t>
      </w:r>
      <w:proofErr w:type="spellStart"/>
      <w:r w:rsidRPr="00356B25">
        <w:rPr>
          <w:rFonts w:cs="Calibri"/>
          <w:szCs w:val="22"/>
          <w:lang w:val="de-DE" w:bidi="de-DE"/>
        </w:rPr>
        <w:t>kön</w:t>
      </w:r>
      <w:proofErr w:type="spellEnd"/>
      <w:r>
        <w:rPr>
          <w:rFonts w:cs="Calibri"/>
          <w:szCs w:val="22"/>
          <w:lang w:val="de-DE" w:bidi="de-DE"/>
        </w:rPr>
        <w:t>-</w:t>
      </w:r>
    </w:p>
    <w:p w:rsidR="00B501A0" w:rsidRPr="009F3087" w:rsidRDefault="00B501A0" w:rsidP="008917CD">
      <w:pPr>
        <w:ind w:left="426"/>
        <w:rPr>
          <w:rFonts w:cs="Calibri"/>
          <w:iCs/>
          <w:szCs w:val="22"/>
          <w:lang w:val="de-DE" w:bidi="de-DE"/>
        </w:rPr>
      </w:pPr>
      <w:proofErr w:type="spellStart"/>
      <w:r w:rsidRPr="00356B25">
        <w:rPr>
          <w:rFonts w:cs="Calibri"/>
          <w:szCs w:val="22"/>
          <w:lang w:val="de-DE" w:bidi="de-DE"/>
        </w:rPr>
        <w:t>nen</w:t>
      </w:r>
      <w:proofErr w:type="spellEnd"/>
      <w:r w:rsidRPr="00356B25">
        <w:rPr>
          <w:rFonts w:cs="Calibri"/>
          <w:szCs w:val="22"/>
          <w:lang w:val="de-DE" w:bidi="de-DE"/>
        </w:rPr>
        <w:t xml:space="preserve"> Gebäudetechniker die Raumbelegung besser planen. </w:t>
      </w:r>
      <w:r w:rsidR="00FA4C62">
        <w:rPr>
          <w:rFonts w:cs="Calibri"/>
          <w:szCs w:val="22"/>
          <w:lang w:val="de-DE" w:bidi="de-DE"/>
        </w:rPr>
        <w:t xml:space="preserve">Mit den erfassten </w:t>
      </w:r>
      <w:r w:rsidRPr="00356B25">
        <w:rPr>
          <w:rFonts w:cs="Calibri"/>
          <w:szCs w:val="22"/>
          <w:lang w:val="de-DE" w:bidi="de-DE"/>
        </w:rPr>
        <w:t>Echtzeit</w:t>
      </w:r>
      <w:r w:rsidR="008917CD">
        <w:rPr>
          <w:rFonts w:cs="Calibri"/>
          <w:szCs w:val="22"/>
          <w:lang w:val="de-DE" w:bidi="de-DE"/>
        </w:rPr>
        <w:t>-</w:t>
      </w:r>
      <w:r w:rsidR="008917CD">
        <w:rPr>
          <w:rFonts w:cs="Calibri"/>
          <w:szCs w:val="22"/>
          <w:lang w:val="de-DE" w:bidi="de-DE"/>
        </w:rPr>
        <w:br/>
      </w:r>
      <w:proofErr w:type="spellStart"/>
      <w:r>
        <w:rPr>
          <w:rFonts w:cs="Calibri"/>
          <w:szCs w:val="22"/>
          <w:lang w:val="de-DE" w:bidi="de-DE"/>
        </w:rPr>
        <w:t>daten</w:t>
      </w:r>
      <w:proofErr w:type="spellEnd"/>
      <w:r>
        <w:rPr>
          <w:rFonts w:cs="Calibri"/>
          <w:szCs w:val="22"/>
          <w:lang w:val="de-DE" w:bidi="de-DE"/>
        </w:rPr>
        <w:t xml:space="preserve"> </w:t>
      </w:r>
      <w:r w:rsidR="008917CD">
        <w:rPr>
          <w:rFonts w:cs="Calibri"/>
          <w:szCs w:val="22"/>
          <w:lang w:val="de-DE" w:bidi="de-DE"/>
        </w:rPr>
        <w:t xml:space="preserve">lässt sich </w:t>
      </w:r>
      <w:r w:rsidRPr="00356B25">
        <w:rPr>
          <w:rFonts w:cs="Calibri"/>
          <w:szCs w:val="22"/>
          <w:lang w:val="de-DE" w:bidi="de-DE"/>
        </w:rPr>
        <w:t>Raumbelegungseffizienz</w:t>
      </w:r>
      <w:r w:rsidR="008917CD">
        <w:rPr>
          <w:rFonts w:cs="Calibri"/>
          <w:szCs w:val="22"/>
          <w:lang w:val="de-DE" w:bidi="de-DE"/>
        </w:rPr>
        <w:t xml:space="preserve"> um mindestens 20 Prozent verbessern</w:t>
      </w:r>
      <w:r w:rsidRPr="00356B25">
        <w:rPr>
          <w:rFonts w:cs="Calibri"/>
          <w:szCs w:val="22"/>
          <w:lang w:val="de-DE" w:bidi="de-DE"/>
        </w:rPr>
        <w:t>.</w:t>
      </w:r>
    </w:p>
    <w:p w:rsidR="00B501A0" w:rsidRDefault="00B501A0" w:rsidP="00B501A0">
      <w:pPr>
        <w:rPr>
          <w:rFonts w:cs="Calibri"/>
          <w:szCs w:val="22"/>
          <w:lang w:val="de-DE" w:bidi="de-DE"/>
        </w:rPr>
      </w:pPr>
    </w:p>
    <w:p w:rsidR="00B501A0" w:rsidRDefault="00B501A0" w:rsidP="00B501A0">
      <w:pPr>
        <w:rPr>
          <w:rFonts w:cs="Calibri"/>
          <w:szCs w:val="22"/>
          <w:lang w:val="de-DE" w:eastAsia="en-US"/>
        </w:rPr>
      </w:pPr>
      <w:r w:rsidRPr="00356B25">
        <w:rPr>
          <w:rFonts w:cs="Calibri"/>
          <w:szCs w:val="22"/>
          <w:lang w:val="de-DE" w:bidi="de-DE"/>
        </w:rPr>
        <w:t>Die Verwendung von standardisierten</w:t>
      </w:r>
      <w:r>
        <w:rPr>
          <w:rFonts w:cs="Calibri"/>
          <w:szCs w:val="22"/>
          <w:lang w:val="de-DE" w:bidi="de-DE"/>
        </w:rPr>
        <w:t>,</w:t>
      </w:r>
      <w:r w:rsidRPr="00356B25">
        <w:rPr>
          <w:rFonts w:cs="Calibri"/>
          <w:szCs w:val="22"/>
          <w:lang w:val="de-DE" w:bidi="de-DE"/>
        </w:rPr>
        <w:t xml:space="preserve"> </w:t>
      </w:r>
      <w:proofErr w:type="spellStart"/>
      <w:r w:rsidRPr="00356B25">
        <w:rPr>
          <w:rFonts w:cs="Calibri"/>
          <w:szCs w:val="22"/>
          <w:lang w:val="de-DE" w:bidi="de-DE"/>
        </w:rPr>
        <w:t>PoE</w:t>
      </w:r>
      <w:proofErr w:type="spellEnd"/>
      <w:r w:rsidRPr="00356B25">
        <w:rPr>
          <w:rFonts w:cs="Calibri"/>
          <w:szCs w:val="22"/>
          <w:lang w:val="de-DE" w:bidi="de-DE"/>
        </w:rPr>
        <w:t>-fähigen Leuchten er</w:t>
      </w:r>
      <w:r w:rsidR="008917CD">
        <w:rPr>
          <w:rFonts w:cs="Calibri"/>
          <w:szCs w:val="22"/>
          <w:lang w:val="de-DE" w:bidi="de-DE"/>
        </w:rPr>
        <w:t>möglich</w:t>
      </w:r>
      <w:r w:rsidR="00CE0772">
        <w:rPr>
          <w:rFonts w:cs="Calibri"/>
          <w:szCs w:val="22"/>
          <w:lang w:val="de-DE" w:bidi="de-DE"/>
        </w:rPr>
        <w:t>t</w:t>
      </w:r>
      <w:r w:rsidR="008917CD">
        <w:rPr>
          <w:rFonts w:cs="Calibri"/>
          <w:szCs w:val="22"/>
          <w:lang w:val="de-DE" w:bidi="de-DE"/>
        </w:rPr>
        <w:t xml:space="preserve"> ebenso </w:t>
      </w:r>
      <w:r w:rsidRPr="00356B25">
        <w:rPr>
          <w:rFonts w:cs="Calibri"/>
          <w:szCs w:val="22"/>
          <w:lang w:val="de-DE" w:bidi="de-DE"/>
        </w:rPr>
        <w:t>Kostenei</w:t>
      </w:r>
      <w:r w:rsidRPr="00356B25">
        <w:rPr>
          <w:rFonts w:cs="Calibri"/>
          <w:szCs w:val="22"/>
          <w:lang w:val="de-DE" w:bidi="de-DE"/>
        </w:rPr>
        <w:t>n</w:t>
      </w:r>
      <w:r w:rsidRPr="00356B25">
        <w:rPr>
          <w:rFonts w:cs="Calibri"/>
          <w:szCs w:val="22"/>
          <w:lang w:val="de-DE" w:bidi="de-DE"/>
        </w:rPr>
        <w:t>sparungen bei der Beleuchtungsinstallatio</w:t>
      </w:r>
      <w:r w:rsidR="008917CD">
        <w:rPr>
          <w:rFonts w:cs="Calibri"/>
          <w:szCs w:val="22"/>
          <w:lang w:val="de-DE" w:bidi="de-DE"/>
        </w:rPr>
        <w:t>n. Die Leuchten werden über die</w:t>
      </w:r>
      <w:r w:rsidRPr="00356B25">
        <w:rPr>
          <w:rFonts w:cs="Calibri"/>
          <w:szCs w:val="22"/>
          <w:lang w:val="de-DE" w:bidi="de-DE"/>
        </w:rPr>
        <w:t xml:space="preserve"> Ethernet</w:t>
      </w:r>
      <w:r w:rsidR="008917CD">
        <w:rPr>
          <w:rFonts w:cs="Calibri"/>
          <w:szCs w:val="22"/>
          <w:lang w:val="de-DE" w:bidi="de-DE"/>
        </w:rPr>
        <w:t>-</w:t>
      </w:r>
      <w:r>
        <w:rPr>
          <w:rFonts w:cs="Calibri"/>
          <w:szCs w:val="22"/>
          <w:lang w:val="de-DE" w:bidi="de-DE"/>
        </w:rPr>
        <w:t>V</w:t>
      </w:r>
      <w:r w:rsidRPr="00356B25">
        <w:rPr>
          <w:rFonts w:cs="Calibri"/>
          <w:szCs w:val="22"/>
          <w:lang w:val="de-DE" w:bidi="de-DE"/>
        </w:rPr>
        <w:t xml:space="preserve">erbindung </w:t>
      </w:r>
      <w:r w:rsidR="008917CD">
        <w:rPr>
          <w:rFonts w:cs="Calibri"/>
          <w:szCs w:val="22"/>
          <w:lang w:val="de-DE" w:bidi="de-DE"/>
        </w:rPr>
        <w:t>zur Datenübertragung</w:t>
      </w:r>
      <w:r w:rsidR="008917CD" w:rsidRPr="00356B25">
        <w:rPr>
          <w:rFonts w:cs="Calibri"/>
          <w:szCs w:val="22"/>
          <w:lang w:val="de-DE" w:bidi="de-DE"/>
        </w:rPr>
        <w:t xml:space="preserve"> </w:t>
      </w:r>
      <w:r w:rsidR="008917CD">
        <w:rPr>
          <w:rFonts w:cs="Calibri"/>
          <w:szCs w:val="22"/>
          <w:lang w:val="de-DE" w:bidi="de-DE"/>
        </w:rPr>
        <w:t xml:space="preserve">auch </w:t>
      </w:r>
      <w:r w:rsidRPr="00356B25">
        <w:rPr>
          <w:rFonts w:cs="Calibri"/>
          <w:szCs w:val="22"/>
          <w:lang w:val="de-DE" w:bidi="de-DE"/>
        </w:rPr>
        <w:t>mit Strom versorgt</w:t>
      </w:r>
      <w:r w:rsidR="008917CD">
        <w:rPr>
          <w:rFonts w:cs="Calibri"/>
          <w:szCs w:val="22"/>
          <w:lang w:val="de-DE" w:bidi="de-DE"/>
        </w:rPr>
        <w:t>.</w:t>
      </w:r>
      <w:r w:rsidRPr="00356B25">
        <w:rPr>
          <w:rFonts w:cs="Calibri"/>
          <w:szCs w:val="22"/>
          <w:lang w:val="de-DE" w:bidi="de-DE"/>
        </w:rPr>
        <w:t xml:space="preserve"> Daher besteht keine Notw</w:t>
      </w:r>
      <w:r w:rsidR="008917CD">
        <w:rPr>
          <w:rFonts w:cs="Calibri"/>
          <w:szCs w:val="22"/>
          <w:lang w:val="de-DE" w:bidi="de-DE"/>
        </w:rPr>
        <w:t>endi</w:t>
      </w:r>
      <w:r w:rsidR="008917CD">
        <w:rPr>
          <w:rFonts w:cs="Calibri"/>
          <w:szCs w:val="22"/>
          <w:lang w:val="de-DE" w:bidi="de-DE"/>
        </w:rPr>
        <w:t>g</w:t>
      </w:r>
      <w:r w:rsidR="008917CD">
        <w:rPr>
          <w:rFonts w:cs="Calibri"/>
          <w:szCs w:val="22"/>
          <w:lang w:val="de-DE" w:bidi="de-DE"/>
        </w:rPr>
        <w:t xml:space="preserve">keit, </w:t>
      </w:r>
      <w:r w:rsidR="002927F8">
        <w:rPr>
          <w:rFonts w:cs="Calibri"/>
          <w:szCs w:val="22"/>
          <w:lang w:val="de-DE" w:bidi="de-DE"/>
        </w:rPr>
        <w:t xml:space="preserve">zusätzlich </w:t>
      </w:r>
      <w:r w:rsidR="008917CD">
        <w:rPr>
          <w:rFonts w:cs="Calibri"/>
          <w:szCs w:val="22"/>
          <w:lang w:val="de-DE" w:bidi="de-DE"/>
        </w:rPr>
        <w:t>Netz</w:t>
      </w:r>
      <w:r w:rsidRPr="00356B25">
        <w:rPr>
          <w:rFonts w:cs="Calibri"/>
          <w:szCs w:val="22"/>
          <w:lang w:val="de-DE" w:bidi="de-DE"/>
        </w:rPr>
        <w:t xml:space="preserve">kabel </w:t>
      </w:r>
      <w:r w:rsidR="00D67EED">
        <w:rPr>
          <w:rFonts w:cs="Calibri"/>
          <w:szCs w:val="22"/>
          <w:lang w:val="de-DE" w:bidi="de-DE"/>
        </w:rPr>
        <w:t xml:space="preserve">zum Betrieb der Leuchten </w:t>
      </w:r>
      <w:r w:rsidRPr="00356B25">
        <w:rPr>
          <w:rFonts w:cs="Calibri"/>
          <w:szCs w:val="22"/>
          <w:lang w:val="de-DE" w:bidi="de-DE"/>
        </w:rPr>
        <w:t>zu verlegen</w:t>
      </w:r>
      <w:r w:rsidR="008917CD">
        <w:rPr>
          <w:rFonts w:cs="Calibri"/>
          <w:szCs w:val="22"/>
          <w:lang w:val="de-DE" w:bidi="de-DE"/>
        </w:rPr>
        <w:t>.</w:t>
      </w:r>
    </w:p>
    <w:p w:rsidR="00B501A0" w:rsidRDefault="00B501A0" w:rsidP="00C262C1">
      <w:pPr>
        <w:rPr>
          <w:rFonts w:cs="Calibri"/>
          <w:szCs w:val="22"/>
          <w:lang w:val="de-DE" w:eastAsia="en-US"/>
        </w:rPr>
      </w:pPr>
    </w:p>
    <w:p w:rsidR="00890B3F" w:rsidRPr="0094050F" w:rsidRDefault="003232F0" w:rsidP="00E44E77">
      <w:pPr>
        <w:tabs>
          <w:tab w:val="left" w:pos="1368"/>
        </w:tabs>
        <w:rPr>
          <w:rFonts w:asciiTheme="minorHAnsi" w:hAnsiTheme="minorHAnsi" w:cstheme="minorHAnsi"/>
          <w:b/>
          <w:szCs w:val="22"/>
          <w:lang w:val="de-DE"/>
        </w:rPr>
      </w:pPr>
      <w:r>
        <w:rPr>
          <w:rFonts w:asciiTheme="minorHAnsi" w:hAnsiTheme="minorHAnsi" w:cstheme="minorHAnsi"/>
          <w:b/>
          <w:szCs w:val="22"/>
          <w:lang w:val="de-DE"/>
        </w:rPr>
        <w:t xml:space="preserve">Erstes </w:t>
      </w:r>
      <w:proofErr w:type="spellStart"/>
      <w:r>
        <w:rPr>
          <w:rFonts w:asciiTheme="minorHAnsi" w:hAnsiTheme="minorHAnsi" w:cstheme="minorHAnsi"/>
          <w:b/>
          <w:szCs w:val="22"/>
          <w:lang w:val="de-DE"/>
        </w:rPr>
        <w:t>PoE</w:t>
      </w:r>
      <w:proofErr w:type="spellEnd"/>
      <w:r>
        <w:rPr>
          <w:rFonts w:asciiTheme="minorHAnsi" w:hAnsiTheme="minorHAnsi" w:cstheme="minorHAnsi"/>
          <w:b/>
          <w:szCs w:val="22"/>
          <w:lang w:val="de-DE"/>
        </w:rPr>
        <w:t>-Projekt</w:t>
      </w:r>
    </w:p>
    <w:p w:rsidR="00E44E77" w:rsidRPr="0094050F" w:rsidRDefault="00E44E77" w:rsidP="00E44E77">
      <w:pPr>
        <w:tabs>
          <w:tab w:val="left" w:pos="1368"/>
        </w:tabs>
        <w:rPr>
          <w:rFonts w:asciiTheme="minorHAnsi" w:hAnsiTheme="minorHAnsi" w:cstheme="minorHAnsi"/>
          <w:iCs/>
          <w:szCs w:val="22"/>
          <w:lang w:val="de-DE"/>
        </w:rPr>
      </w:pPr>
      <w:r w:rsidRPr="0094050F">
        <w:rPr>
          <w:rFonts w:asciiTheme="minorHAnsi" w:hAnsiTheme="minorHAnsi" w:cstheme="minorHAnsi"/>
          <w:szCs w:val="22"/>
          <w:lang w:val="de-DE"/>
        </w:rPr>
        <w:t>Die erste Installation dieses neuen Systems erfolgt</w:t>
      </w:r>
      <w:r w:rsidR="0034334E">
        <w:rPr>
          <w:rFonts w:asciiTheme="minorHAnsi" w:hAnsiTheme="minorHAnsi" w:cstheme="minorHAnsi"/>
          <w:szCs w:val="22"/>
          <w:lang w:val="de-DE"/>
        </w:rPr>
        <w:t>e</w:t>
      </w:r>
      <w:r w:rsidRPr="0094050F">
        <w:rPr>
          <w:rFonts w:asciiTheme="minorHAnsi" w:hAnsiTheme="minorHAnsi" w:cstheme="minorHAnsi"/>
          <w:szCs w:val="22"/>
          <w:lang w:val="de-DE"/>
        </w:rPr>
        <w:t xml:space="preserve"> im </w:t>
      </w:r>
      <w:r w:rsidR="0055753F">
        <w:rPr>
          <w:rFonts w:asciiTheme="minorHAnsi" w:hAnsiTheme="minorHAnsi" w:cstheme="minorHAnsi"/>
          <w:szCs w:val="22"/>
          <w:lang w:val="de-DE"/>
        </w:rPr>
        <w:t>„</w:t>
      </w:r>
      <w:r w:rsidRPr="0094050F">
        <w:rPr>
          <w:rFonts w:asciiTheme="minorHAnsi" w:hAnsiTheme="minorHAnsi" w:cstheme="minorHAnsi"/>
          <w:szCs w:val="22"/>
          <w:lang w:val="de-DE"/>
        </w:rPr>
        <w:t>The Edge</w:t>
      </w:r>
      <w:r w:rsidR="0055753F">
        <w:rPr>
          <w:rFonts w:asciiTheme="minorHAnsi" w:hAnsiTheme="minorHAnsi" w:cstheme="minorHAnsi"/>
          <w:szCs w:val="22"/>
          <w:lang w:val="de-DE"/>
        </w:rPr>
        <w:t>“</w:t>
      </w:r>
      <w:r w:rsidRPr="0094050F">
        <w:rPr>
          <w:rFonts w:asciiTheme="minorHAnsi" w:hAnsiTheme="minorHAnsi" w:cstheme="minorHAnsi"/>
          <w:szCs w:val="22"/>
          <w:lang w:val="de-DE"/>
        </w:rPr>
        <w:t xml:space="preserve">, einem Bürogebäude, das von OVG Real Estate für </w:t>
      </w:r>
      <w:proofErr w:type="spellStart"/>
      <w:r w:rsidRPr="0094050F">
        <w:rPr>
          <w:rFonts w:asciiTheme="minorHAnsi" w:hAnsiTheme="minorHAnsi" w:cstheme="minorHAnsi"/>
          <w:szCs w:val="22"/>
          <w:lang w:val="de-DE"/>
        </w:rPr>
        <w:t>Del</w:t>
      </w:r>
      <w:r w:rsidR="0094050F" w:rsidRPr="0094050F">
        <w:rPr>
          <w:rFonts w:asciiTheme="minorHAnsi" w:hAnsiTheme="minorHAnsi" w:cstheme="minorHAnsi"/>
          <w:szCs w:val="22"/>
          <w:lang w:val="de-DE"/>
        </w:rPr>
        <w:t>oitte</w:t>
      </w:r>
      <w:proofErr w:type="spellEnd"/>
      <w:r w:rsidR="0094050F" w:rsidRPr="0094050F">
        <w:rPr>
          <w:rFonts w:asciiTheme="minorHAnsi" w:hAnsiTheme="minorHAnsi" w:cstheme="minorHAnsi"/>
          <w:szCs w:val="22"/>
          <w:lang w:val="de-DE"/>
        </w:rPr>
        <w:t xml:space="preserve"> in Amsterdam entwickelt wu</w:t>
      </w:r>
      <w:r w:rsidRPr="0094050F">
        <w:rPr>
          <w:rFonts w:asciiTheme="minorHAnsi" w:hAnsiTheme="minorHAnsi" w:cstheme="minorHAnsi"/>
          <w:szCs w:val="22"/>
          <w:lang w:val="de-DE"/>
        </w:rPr>
        <w:t>rd</w:t>
      </w:r>
      <w:r w:rsidR="0094050F" w:rsidRPr="0094050F">
        <w:rPr>
          <w:rFonts w:asciiTheme="minorHAnsi" w:hAnsiTheme="minorHAnsi" w:cstheme="minorHAnsi"/>
          <w:szCs w:val="22"/>
          <w:lang w:val="de-DE"/>
        </w:rPr>
        <w:t xml:space="preserve">e und die </w:t>
      </w:r>
      <w:r w:rsidRPr="0094050F">
        <w:rPr>
          <w:rFonts w:asciiTheme="minorHAnsi" w:hAnsiTheme="minorHAnsi" w:cstheme="minorHAnsi"/>
          <w:szCs w:val="22"/>
          <w:lang w:val="de-DE"/>
        </w:rPr>
        <w:t>höchsten Nachha</w:t>
      </w:r>
      <w:r w:rsidRPr="0094050F">
        <w:rPr>
          <w:rFonts w:asciiTheme="minorHAnsi" w:hAnsiTheme="minorHAnsi" w:cstheme="minorHAnsi"/>
          <w:szCs w:val="22"/>
          <w:lang w:val="de-DE"/>
        </w:rPr>
        <w:t>l</w:t>
      </w:r>
      <w:r w:rsidRPr="0094050F">
        <w:rPr>
          <w:rFonts w:asciiTheme="minorHAnsi" w:hAnsiTheme="minorHAnsi" w:cstheme="minorHAnsi"/>
          <w:szCs w:val="22"/>
          <w:lang w:val="de-DE"/>
        </w:rPr>
        <w:t>tigkeitsstandards (zertifiziert als BREEAM</w:t>
      </w:r>
      <w:r w:rsidRPr="0094050F">
        <w:rPr>
          <w:rStyle w:val="Funotenzeichen"/>
          <w:rFonts w:asciiTheme="minorHAnsi" w:hAnsiTheme="minorHAnsi" w:cstheme="minorHAnsi"/>
          <w:szCs w:val="22"/>
        </w:rPr>
        <w:footnoteReference w:id="1"/>
      </w:r>
      <w:r w:rsidRPr="0094050F">
        <w:rPr>
          <w:rFonts w:asciiTheme="minorHAnsi" w:hAnsiTheme="minorHAnsi" w:cstheme="minorHAnsi"/>
          <w:szCs w:val="22"/>
          <w:lang w:val="de-DE"/>
        </w:rPr>
        <w:t xml:space="preserve"> - Hervorragend)</w:t>
      </w:r>
      <w:r w:rsidR="00B64AD3">
        <w:rPr>
          <w:rFonts w:asciiTheme="minorHAnsi" w:hAnsiTheme="minorHAnsi" w:cstheme="minorHAnsi"/>
          <w:szCs w:val="22"/>
          <w:lang w:val="de-DE"/>
        </w:rPr>
        <w:t xml:space="preserve"> </w:t>
      </w:r>
      <w:r w:rsidR="0094050F" w:rsidRPr="0094050F">
        <w:rPr>
          <w:rFonts w:asciiTheme="minorHAnsi" w:hAnsiTheme="minorHAnsi" w:cstheme="minorHAnsi"/>
          <w:szCs w:val="22"/>
          <w:lang w:val="de-DE"/>
        </w:rPr>
        <w:t>erfüllt</w:t>
      </w:r>
      <w:r w:rsidRPr="0094050F">
        <w:rPr>
          <w:rFonts w:asciiTheme="minorHAnsi" w:hAnsiTheme="minorHAnsi" w:cstheme="minorHAnsi"/>
          <w:szCs w:val="22"/>
          <w:lang w:val="de-DE"/>
        </w:rPr>
        <w:t xml:space="preserve">. </w:t>
      </w:r>
      <w:r w:rsidRPr="0094050F">
        <w:rPr>
          <w:rFonts w:asciiTheme="minorHAnsi" w:hAnsiTheme="minorHAnsi" w:cstheme="minorHAnsi"/>
          <w:iCs/>
          <w:szCs w:val="22"/>
          <w:lang w:val="de-DE"/>
        </w:rPr>
        <w:t xml:space="preserve">Innovation hat bei </w:t>
      </w:r>
      <w:proofErr w:type="spellStart"/>
      <w:r w:rsidRPr="0094050F">
        <w:rPr>
          <w:rFonts w:asciiTheme="minorHAnsi" w:hAnsiTheme="minorHAnsi" w:cstheme="minorHAnsi"/>
          <w:iCs/>
          <w:szCs w:val="22"/>
          <w:lang w:val="de-DE"/>
        </w:rPr>
        <w:t>Deloitte</w:t>
      </w:r>
      <w:proofErr w:type="spellEnd"/>
      <w:r w:rsidRPr="0094050F">
        <w:rPr>
          <w:rFonts w:asciiTheme="minorHAnsi" w:hAnsiTheme="minorHAnsi" w:cstheme="minorHAnsi"/>
          <w:iCs/>
          <w:szCs w:val="22"/>
          <w:lang w:val="de-DE"/>
        </w:rPr>
        <w:t xml:space="preserve"> oberste </w:t>
      </w:r>
      <w:r w:rsidR="0094050F">
        <w:rPr>
          <w:rFonts w:asciiTheme="minorHAnsi" w:hAnsiTheme="minorHAnsi" w:cstheme="minorHAnsi"/>
          <w:iCs/>
          <w:szCs w:val="22"/>
          <w:lang w:val="de-DE"/>
        </w:rPr>
        <w:t>Priorität. Ziel ist es</w:t>
      </w:r>
      <w:r w:rsidR="00B64AD3">
        <w:rPr>
          <w:rFonts w:asciiTheme="minorHAnsi" w:hAnsiTheme="minorHAnsi" w:cstheme="minorHAnsi"/>
          <w:iCs/>
          <w:szCs w:val="22"/>
          <w:lang w:val="de-DE"/>
        </w:rPr>
        <w:t>,</w:t>
      </w:r>
      <w:r w:rsidR="0094050F">
        <w:rPr>
          <w:rFonts w:asciiTheme="minorHAnsi" w:hAnsiTheme="minorHAnsi" w:cstheme="minorHAnsi"/>
          <w:iCs/>
          <w:szCs w:val="22"/>
          <w:lang w:val="de-DE"/>
        </w:rPr>
        <w:t xml:space="preserve"> </w:t>
      </w:r>
      <w:r w:rsidRPr="0094050F">
        <w:rPr>
          <w:rFonts w:asciiTheme="minorHAnsi" w:hAnsiTheme="minorHAnsi" w:cstheme="minorHAnsi"/>
          <w:iCs/>
          <w:szCs w:val="22"/>
          <w:lang w:val="de-DE"/>
        </w:rPr>
        <w:t xml:space="preserve">für </w:t>
      </w:r>
      <w:r w:rsidR="0094050F">
        <w:rPr>
          <w:rFonts w:asciiTheme="minorHAnsi" w:hAnsiTheme="minorHAnsi" w:cstheme="minorHAnsi"/>
          <w:iCs/>
          <w:szCs w:val="22"/>
          <w:lang w:val="de-DE"/>
        </w:rPr>
        <w:t xml:space="preserve">die </w:t>
      </w:r>
      <w:r w:rsidRPr="0094050F">
        <w:rPr>
          <w:rFonts w:asciiTheme="minorHAnsi" w:hAnsiTheme="minorHAnsi" w:cstheme="minorHAnsi"/>
          <w:iCs/>
          <w:szCs w:val="22"/>
          <w:lang w:val="de-DE"/>
        </w:rPr>
        <w:t xml:space="preserve">Mitarbeiter ein </w:t>
      </w:r>
      <w:r w:rsidRPr="0094050F">
        <w:rPr>
          <w:rFonts w:asciiTheme="minorHAnsi" w:hAnsiTheme="minorHAnsi" w:cstheme="minorHAnsi"/>
          <w:szCs w:val="22"/>
          <w:lang w:val="de-DE"/>
        </w:rPr>
        <w:t>intuitiveres, komfortableres und produkt</w:t>
      </w:r>
      <w:r w:rsidRPr="0094050F">
        <w:rPr>
          <w:rFonts w:asciiTheme="minorHAnsi" w:hAnsiTheme="minorHAnsi" w:cstheme="minorHAnsi"/>
          <w:szCs w:val="22"/>
          <w:lang w:val="de-DE"/>
        </w:rPr>
        <w:t>i</w:t>
      </w:r>
      <w:r w:rsidRPr="0094050F">
        <w:rPr>
          <w:rFonts w:asciiTheme="minorHAnsi" w:hAnsiTheme="minorHAnsi" w:cstheme="minorHAnsi"/>
          <w:szCs w:val="22"/>
          <w:lang w:val="de-DE"/>
        </w:rPr>
        <w:t xml:space="preserve">veres Umfeld schaffen. </w:t>
      </w:r>
      <w:r w:rsidR="00F21B89">
        <w:rPr>
          <w:rFonts w:asciiTheme="minorHAnsi" w:hAnsiTheme="minorHAnsi" w:cstheme="minorHAnsi"/>
          <w:szCs w:val="22"/>
          <w:lang w:val="de-DE"/>
        </w:rPr>
        <w:t xml:space="preserve">Das </w:t>
      </w:r>
      <w:proofErr w:type="spellStart"/>
      <w:r w:rsidR="00F21B89">
        <w:rPr>
          <w:rFonts w:asciiTheme="minorHAnsi" w:hAnsiTheme="minorHAnsi" w:cstheme="minorHAnsi"/>
          <w:szCs w:val="22"/>
          <w:lang w:val="de-DE"/>
        </w:rPr>
        <w:t>Deloitte</w:t>
      </w:r>
      <w:proofErr w:type="spellEnd"/>
      <w:r w:rsidR="00F21B89">
        <w:rPr>
          <w:rFonts w:asciiTheme="minorHAnsi" w:hAnsiTheme="minorHAnsi" w:cstheme="minorHAnsi"/>
          <w:szCs w:val="22"/>
          <w:lang w:val="de-DE"/>
        </w:rPr>
        <w:t>-G</w:t>
      </w:r>
      <w:r w:rsidRPr="0094050F">
        <w:rPr>
          <w:rFonts w:asciiTheme="minorHAnsi" w:hAnsiTheme="minorHAnsi" w:cstheme="minorHAnsi"/>
          <w:szCs w:val="22"/>
          <w:lang w:val="de-DE"/>
        </w:rPr>
        <w:t xml:space="preserve">ebäude </w:t>
      </w:r>
      <w:r w:rsidR="00F21B89">
        <w:rPr>
          <w:rFonts w:asciiTheme="minorHAnsi" w:hAnsiTheme="minorHAnsi" w:cstheme="minorHAnsi"/>
          <w:szCs w:val="22"/>
          <w:lang w:val="de-DE"/>
        </w:rPr>
        <w:t>setzt außerdem neue Stand</w:t>
      </w:r>
      <w:r w:rsidR="0055753F">
        <w:rPr>
          <w:rFonts w:asciiTheme="minorHAnsi" w:hAnsiTheme="minorHAnsi" w:cstheme="minorHAnsi"/>
          <w:szCs w:val="22"/>
          <w:lang w:val="de-DE"/>
        </w:rPr>
        <w:t>a</w:t>
      </w:r>
      <w:r w:rsidR="00F21B89">
        <w:rPr>
          <w:rFonts w:asciiTheme="minorHAnsi" w:hAnsiTheme="minorHAnsi" w:cstheme="minorHAnsi"/>
          <w:szCs w:val="22"/>
          <w:lang w:val="de-DE"/>
        </w:rPr>
        <w:t>rds</w:t>
      </w:r>
      <w:r w:rsidRPr="0094050F">
        <w:rPr>
          <w:rFonts w:asciiTheme="minorHAnsi" w:hAnsiTheme="minorHAnsi" w:cstheme="minorHAnsi"/>
          <w:szCs w:val="22"/>
          <w:lang w:val="de-DE"/>
        </w:rPr>
        <w:t xml:space="preserve"> für Büroanal</w:t>
      </w:r>
      <w:r w:rsidRPr="0094050F">
        <w:rPr>
          <w:rFonts w:asciiTheme="minorHAnsi" w:hAnsiTheme="minorHAnsi" w:cstheme="minorHAnsi"/>
          <w:szCs w:val="22"/>
          <w:lang w:val="de-DE"/>
        </w:rPr>
        <w:t>y</w:t>
      </w:r>
      <w:r w:rsidRPr="0094050F">
        <w:rPr>
          <w:rFonts w:asciiTheme="minorHAnsi" w:hAnsiTheme="minorHAnsi" w:cstheme="minorHAnsi"/>
          <w:szCs w:val="22"/>
          <w:lang w:val="de-DE"/>
        </w:rPr>
        <w:t xml:space="preserve">tik: </w:t>
      </w:r>
      <w:r w:rsidR="00F036EC">
        <w:rPr>
          <w:rFonts w:asciiTheme="minorHAnsi" w:hAnsiTheme="minorHAnsi" w:cstheme="minorHAnsi"/>
          <w:szCs w:val="22"/>
          <w:lang w:val="de-DE"/>
        </w:rPr>
        <w:t xml:space="preserve">Das </w:t>
      </w:r>
      <w:r w:rsidR="00F21B89">
        <w:rPr>
          <w:rFonts w:asciiTheme="minorHAnsi" w:hAnsiTheme="minorHAnsi" w:cstheme="minorHAnsi"/>
          <w:szCs w:val="22"/>
          <w:lang w:val="de-DE"/>
        </w:rPr>
        <w:t xml:space="preserve">vernetzte </w:t>
      </w:r>
      <w:proofErr w:type="spellStart"/>
      <w:r w:rsidR="00F21B89">
        <w:rPr>
          <w:rFonts w:asciiTheme="minorHAnsi" w:hAnsiTheme="minorHAnsi" w:cstheme="minorHAnsi"/>
          <w:szCs w:val="22"/>
          <w:lang w:val="de-DE"/>
        </w:rPr>
        <w:t>PoE</w:t>
      </w:r>
      <w:proofErr w:type="spellEnd"/>
      <w:r w:rsidR="00F21B89">
        <w:rPr>
          <w:rFonts w:asciiTheme="minorHAnsi" w:hAnsiTheme="minorHAnsi" w:cstheme="minorHAnsi"/>
          <w:szCs w:val="22"/>
          <w:lang w:val="de-DE"/>
        </w:rPr>
        <w:t>-Beleuchtungssystem</w:t>
      </w:r>
      <w:r w:rsidR="0034334E">
        <w:rPr>
          <w:rFonts w:asciiTheme="minorHAnsi" w:hAnsiTheme="minorHAnsi" w:cstheme="minorHAnsi"/>
          <w:szCs w:val="22"/>
          <w:lang w:val="de-DE"/>
        </w:rPr>
        <w:t xml:space="preserve"> von Philips </w:t>
      </w:r>
      <w:r w:rsidR="00F036EC">
        <w:rPr>
          <w:rFonts w:asciiTheme="minorHAnsi" w:hAnsiTheme="minorHAnsi" w:cstheme="minorHAnsi"/>
          <w:szCs w:val="22"/>
          <w:lang w:val="de-DE"/>
        </w:rPr>
        <w:t>vermittelt in diesem Zusammenhang</w:t>
      </w:r>
      <w:r w:rsidR="00F21B89">
        <w:rPr>
          <w:rFonts w:asciiTheme="minorHAnsi" w:hAnsiTheme="minorHAnsi" w:cstheme="minorHAnsi"/>
          <w:szCs w:val="22"/>
          <w:lang w:val="de-DE"/>
        </w:rPr>
        <w:t xml:space="preserve"> </w:t>
      </w:r>
      <w:r w:rsidRPr="0094050F">
        <w:rPr>
          <w:rFonts w:asciiTheme="minorHAnsi" w:hAnsiTheme="minorHAnsi" w:cstheme="minorHAnsi"/>
          <w:szCs w:val="22"/>
          <w:lang w:val="de-DE"/>
        </w:rPr>
        <w:t>völlig neue Einblicke in die Nutzung von Büroräumen</w:t>
      </w:r>
      <w:r w:rsidR="00F21B89">
        <w:rPr>
          <w:rFonts w:asciiTheme="minorHAnsi" w:hAnsiTheme="minorHAnsi" w:cstheme="minorHAnsi"/>
          <w:szCs w:val="22"/>
          <w:lang w:val="de-DE"/>
        </w:rPr>
        <w:t xml:space="preserve">. Dadurch lassen sich </w:t>
      </w:r>
      <w:r w:rsidRPr="0094050F">
        <w:rPr>
          <w:rFonts w:asciiTheme="minorHAnsi" w:hAnsiTheme="minorHAnsi" w:cstheme="minorHAnsi"/>
          <w:iCs/>
          <w:szCs w:val="22"/>
          <w:lang w:val="de-DE"/>
        </w:rPr>
        <w:t>die CO</w:t>
      </w:r>
      <w:r w:rsidRPr="0094050F">
        <w:rPr>
          <w:rFonts w:asciiTheme="minorHAnsi" w:hAnsiTheme="minorHAnsi" w:cstheme="minorHAnsi"/>
          <w:iCs/>
          <w:szCs w:val="22"/>
          <w:vertAlign w:val="subscript"/>
          <w:lang w:val="de-DE"/>
        </w:rPr>
        <w:t>2</w:t>
      </w:r>
      <w:r w:rsidRPr="0094050F">
        <w:rPr>
          <w:rFonts w:asciiTheme="minorHAnsi" w:hAnsiTheme="minorHAnsi" w:cstheme="minorHAnsi"/>
          <w:iCs/>
          <w:szCs w:val="22"/>
          <w:lang w:val="de-DE"/>
        </w:rPr>
        <w:t xml:space="preserve">-Emissionen von Gebäuden </w:t>
      </w:r>
      <w:r w:rsidR="00F21B89">
        <w:rPr>
          <w:rFonts w:asciiTheme="minorHAnsi" w:hAnsiTheme="minorHAnsi" w:cstheme="minorHAnsi"/>
          <w:iCs/>
          <w:szCs w:val="22"/>
          <w:lang w:val="de-DE"/>
        </w:rPr>
        <w:t xml:space="preserve">weiter senken, um einen Beitrag zu einer </w:t>
      </w:r>
      <w:r w:rsidRPr="0094050F">
        <w:rPr>
          <w:rFonts w:asciiTheme="minorHAnsi" w:hAnsiTheme="minorHAnsi" w:cstheme="minorHAnsi"/>
          <w:iCs/>
          <w:szCs w:val="22"/>
          <w:lang w:val="de-DE"/>
        </w:rPr>
        <w:t xml:space="preserve">nachhaltigeren Welt </w:t>
      </w:r>
      <w:r w:rsidR="00F21B89">
        <w:rPr>
          <w:rFonts w:asciiTheme="minorHAnsi" w:hAnsiTheme="minorHAnsi" w:cstheme="minorHAnsi"/>
          <w:iCs/>
          <w:szCs w:val="22"/>
          <w:lang w:val="de-DE"/>
        </w:rPr>
        <w:t>zu leisten.</w:t>
      </w:r>
    </w:p>
    <w:p w:rsidR="00E44E77" w:rsidRDefault="00E44E77" w:rsidP="00E44E77">
      <w:pPr>
        <w:tabs>
          <w:tab w:val="left" w:pos="1368"/>
        </w:tabs>
        <w:rPr>
          <w:rFonts w:asciiTheme="minorHAnsi" w:hAnsiTheme="minorHAnsi" w:cstheme="minorHAnsi"/>
          <w:iCs/>
          <w:szCs w:val="22"/>
          <w:lang w:val="de-DE"/>
        </w:rPr>
      </w:pPr>
    </w:p>
    <w:p w:rsidR="00EC5321" w:rsidRDefault="00EC5321" w:rsidP="00EC5321">
      <w:pPr>
        <w:spacing w:line="255" w:lineRule="atLeast"/>
        <w:rPr>
          <w:rFonts w:cs="Calibri"/>
          <w:iCs/>
          <w:szCs w:val="22"/>
          <w:lang w:val="de-DE" w:bidi="de-DE"/>
        </w:rPr>
      </w:pPr>
      <w:r>
        <w:rPr>
          <w:rFonts w:cs="Calibri"/>
          <w:b/>
          <w:szCs w:val="22"/>
          <w:lang w:val="de-DE" w:bidi="de-DE"/>
        </w:rPr>
        <w:t>„The Edge“ beteiligte Firmen</w:t>
      </w:r>
    </w:p>
    <w:p w:rsidR="00EC5321" w:rsidRPr="00EC5321" w:rsidRDefault="00EC5321" w:rsidP="00EC5321">
      <w:pPr>
        <w:spacing w:line="255" w:lineRule="atLeast"/>
        <w:rPr>
          <w:rFonts w:cs="Calibri"/>
          <w:iCs/>
          <w:szCs w:val="22"/>
          <w:lang w:val="de-DE" w:bidi="de-DE"/>
        </w:rPr>
      </w:pPr>
      <w:r w:rsidRPr="00356B25">
        <w:rPr>
          <w:rFonts w:cs="Calibri"/>
          <w:szCs w:val="22"/>
          <w:lang w:val="de-DE" w:bidi="de-DE"/>
        </w:rPr>
        <w:t>„The Edge“ ist aus der Zusammenarbeit zwischen OVG Real Estate, Philips und dem Haup</w:t>
      </w:r>
      <w:r w:rsidRPr="00356B25">
        <w:rPr>
          <w:rFonts w:cs="Calibri"/>
          <w:szCs w:val="22"/>
          <w:lang w:val="de-DE" w:bidi="de-DE"/>
        </w:rPr>
        <w:t>t</w:t>
      </w:r>
      <w:r w:rsidRPr="00356B25">
        <w:rPr>
          <w:rFonts w:cs="Calibri"/>
          <w:szCs w:val="22"/>
          <w:lang w:val="de-DE" w:bidi="de-DE"/>
        </w:rPr>
        <w:t xml:space="preserve">mieter </w:t>
      </w:r>
      <w:proofErr w:type="spellStart"/>
      <w:r w:rsidRPr="00356B25">
        <w:rPr>
          <w:rFonts w:cs="Calibri"/>
          <w:szCs w:val="22"/>
          <w:lang w:val="de-DE" w:bidi="de-DE"/>
        </w:rPr>
        <w:t>Deloitte</w:t>
      </w:r>
      <w:proofErr w:type="spellEnd"/>
      <w:r w:rsidRPr="00356B25">
        <w:rPr>
          <w:rFonts w:cs="Calibri"/>
          <w:szCs w:val="22"/>
          <w:lang w:val="de-DE" w:bidi="de-DE"/>
        </w:rPr>
        <w:t xml:space="preserve"> hervorgegangen. Das Gebäude wurde von Ron Bakker und Lee </w:t>
      </w:r>
      <w:proofErr w:type="spellStart"/>
      <w:r w:rsidRPr="00356B25">
        <w:rPr>
          <w:rFonts w:cs="Calibri"/>
          <w:szCs w:val="22"/>
          <w:lang w:val="de-DE" w:bidi="de-DE"/>
        </w:rPr>
        <w:t>Polisano</w:t>
      </w:r>
      <w:proofErr w:type="spellEnd"/>
      <w:r w:rsidRPr="00356B25">
        <w:rPr>
          <w:rFonts w:cs="Calibri"/>
          <w:szCs w:val="22"/>
          <w:lang w:val="de-DE" w:bidi="de-DE"/>
        </w:rPr>
        <w:t xml:space="preserve"> vom Londoner Architekturbüro PLP </w:t>
      </w:r>
      <w:proofErr w:type="spellStart"/>
      <w:r w:rsidRPr="00356B25">
        <w:rPr>
          <w:rFonts w:cs="Calibri"/>
          <w:szCs w:val="22"/>
          <w:lang w:val="de-DE" w:bidi="de-DE"/>
        </w:rPr>
        <w:t>Architecture</w:t>
      </w:r>
      <w:proofErr w:type="spellEnd"/>
      <w:r w:rsidRPr="00356B25">
        <w:rPr>
          <w:rFonts w:cs="Calibri"/>
          <w:szCs w:val="22"/>
          <w:lang w:val="de-DE" w:bidi="de-DE"/>
        </w:rPr>
        <w:t xml:space="preserve"> entworfen. Eigentümer von „The Edge“ ist das Unternehmen Deka Immobilien Investment. Zu den weiteren Mietern des Gebäudes zählen AKD, </w:t>
      </w:r>
      <w:proofErr w:type="spellStart"/>
      <w:r w:rsidRPr="00356B25">
        <w:rPr>
          <w:rFonts w:cs="Calibri"/>
          <w:szCs w:val="22"/>
          <w:lang w:val="de-DE" w:bidi="de-DE"/>
        </w:rPr>
        <w:t>Salesforce</w:t>
      </w:r>
      <w:proofErr w:type="spellEnd"/>
      <w:r w:rsidRPr="00356B25">
        <w:rPr>
          <w:rFonts w:cs="Calibri"/>
          <w:szCs w:val="22"/>
          <w:lang w:val="de-DE" w:bidi="de-DE"/>
        </w:rPr>
        <w:t xml:space="preserve">, Henkel, </w:t>
      </w:r>
      <w:proofErr w:type="spellStart"/>
      <w:r w:rsidRPr="00356B25">
        <w:rPr>
          <w:rFonts w:cs="Calibri"/>
          <w:szCs w:val="22"/>
          <w:lang w:val="de-DE" w:bidi="de-DE"/>
        </w:rPr>
        <w:t>Sandvik</w:t>
      </w:r>
      <w:proofErr w:type="spellEnd"/>
      <w:r w:rsidRPr="00356B25">
        <w:rPr>
          <w:rFonts w:cs="Calibri"/>
          <w:szCs w:val="22"/>
          <w:lang w:val="de-DE" w:bidi="de-DE"/>
        </w:rPr>
        <w:t xml:space="preserve"> und Edelman.</w:t>
      </w:r>
    </w:p>
    <w:p w:rsidR="00EC5321" w:rsidRDefault="00EC5321" w:rsidP="00E44E77">
      <w:pPr>
        <w:tabs>
          <w:tab w:val="left" w:pos="1368"/>
        </w:tabs>
        <w:rPr>
          <w:rFonts w:asciiTheme="minorHAnsi" w:hAnsiTheme="minorHAnsi" w:cstheme="minorHAnsi"/>
          <w:iCs/>
          <w:szCs w:val="22"/>
          <w:lang w:val="de-DE"/>
        </w:rPr>
      </w:pPr>
    </w:p>
    <w:p w:rsidR="00CE0772" w:rsidRPr="00C80BC7" w:rsidRDefault="00CE0772" w:rsidP="00CE0772">
      <w:pPr>
        <w:rPr>
          <w:rFonts w:cs="Arial"/>
          <w:b/>
          <w:szCs w:val="22"/>
          <w:lang w:val="de-DE"/>
        </w:rPr>
      </w:pPr>
      <w:r w:rsidRPr="00C80BC7">
        <w:rPr>
          <w:rFonts w:cs="Arial"/>
          <w:b/>
          <w:szCs w:val="22"/>
          <w:lang w:val="de-DE"/>
        </w:rPr>
        <w:t>Weitere Informationen für Journalisten:</w:t>
      </w:r>
    </w:p>
    <w:p w:rsidR="00CE0772" w:rsidRDefault="00CE0772" w:rsidP="00CE0772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Pressesprecher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0A2068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proofErr w:type="spellStart"/>
      <w:r>
        <w:rPr>
          <w:rFonts w:ascii="Calibri" w:hAnsi="Calibri"/>
          <w:bCs/>
          <w:sz w:val="22"/>
          <w:szCs w:val="22"/>
        </w:rPr>
        <w:t>Pressesprecher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</w:p>
    <w:p w:rsidR="00CE0772" w:rsidRPr="00C80BC7" w:rsidRDefault="00CE0772" w:rsidP="00CE0772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Bernd Glaser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C80BC7">
        <w:rPr>
          <w:rFonts w:ascii="Calibri" w:hAnsi="Calibri"/>
          <w:bCs/>
          <w:sz w:val="22"/>
          <w:szCs w:val="22"/>
        </w:rPr>
        <w:t>Oliver Klug</w:t>
      </w:r>
    </w:p>
    <w:p w:rsidR="00CE0772" w:rsidRPr="008C147B" w:rsidRDefault="00CE0772" w:rsidP="00CE0772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8C147B">
        <w:rPr>
          <w:rFonts w:ascii="Calibri" w:hAnsi="Calibri"/>
          <w:bCs/>
          <w:sz w:val="22"/>
          <w:szCs w:val="22"/>
        </w:rPr>
        <w:t>Tel: +49 (0) 160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96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32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71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83</w:t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  <w:t>Tel: +49 (0) 152 22 80 05 44</w:t>
      </w:r>
    </w:p>
    <w:p w:rsidR="00CE0772" w:rsidRPr="008C147B" w:rsidRDefault="00CE0772" w:rsidP="00CE0772">
      <w:pPr>
        <w:rPr>
          <w:bCs/>
          <w:szCs w:val="22"/>
          <w:lang w:val="de-DE"/>
        </w:rPr>
      </w:pPr>
      <w:r w:rsidRPr="008C147B">
        <w:rPr>
          <w:bCs/>
          <w:szCs w:val="22"/>
          <w:lang w:val="de-DE"/>
        </w:rPr>
        <w:t>E-Mail:</w:t>
      </w:r>
      <w:r>
        <w:rPr>
          <w:bCs/>
          <w:szCs w:val="22"/>
          <w:lang w:val="de-DE"/>
        </w:rPr>
        <w:t xml:space="preserve"> </w:t>
      </w:r>
      <w:hyperlink r:id="rId12" w:history="1">
        <w:r w:rsidRPr="008C147B">
          <w:rPr>
            <w:rStyle w:val="Hyperlink"/>
            <w:rFonts w:cs="Arial"/>
            <w:color w:val="0000FF"/>
            <w:u w:val="single"/>
            <w:lang w:val="de-DE"/>
          </w:rPr>
          <w:t>bernd.glaser@philips.com</w:t>
        </w:r>
      </w:hyperlink>
      <w:r w:rsidRPr="008C147B">
        <w:rPr>
          <w:bCs/>
          <w:szCs w:val="22"/>
          <w:lang w:val="de-DE"/>
        </w:rPr>
        <w:tab/>
      </w:r>
      <w:r w:rsidRPr="008C147B">
        <w:rPr>
          <w:bCs/>
          <w:szCs w:val="22"/>
          <w:lang w:val="de-DE"/>
        </w:rPr>
        <w:tab/>
      </w:r>
      <w:r w:rsidRPr="008C147B">
        <w:rPr>
          <w:bCs/>
          <w:szCs w:val="22"/>
          <w:lang w:val="de-DE"/>
        </w:rPr>
        <w:tab/>
        <w:t xml:space="preserve">E-Mail: </w:t>
      </w:r>
      <w:hyperlink r:id="rId13" w:history="1">
        <w:r w:rsidRPr="008C147B">
          <w:rPr>
            <w:rStyle w:val="Hyperlink"/>
            <w:rFonts w:cs="Arial"/>
            <w:color w:val="0000FF"/>
            <w:u w:val="single"/>
            <w:lang w:val="de-DE"/>
          </w:rPr>
          <w:t>oliver.klug@philips.com</w:t>
        </w:r>
      </w:hyperlink>
    </w:p>
    <w:p w:rsidR="00CE0772" w:rsidRPr="00CE0772" w:rsidRDefault="00CE0772" w:rsidP="00CE0772">
      <w:pPr>
        <w:rPr>
          <w:rFonts w:cs="Calibri"/>
          <w:szCs w:val="22"/>
          <w:lang w:val="de-DE" w:eastAsia="en-US"/>
        </w:rPr>
      </w:pPr>
    </w:p>
    <w:p w:rsidR="00CE0772" w:rsidRDefault="00CE0772" w:rsidP="00CE0772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8C147B">
        <w:rPr>
          <w:rFonts w:ascii="Calibri" w:hAnsi="Calibri"/>
          <w:bCs/>
          <w:sz w:val="22"/>
          <w:szCs w:val="22"/>
        </w:rPr>
        <w:t>Philips Lighting GmbH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C80BC7">
        <w:rPr>
          <w:rFonts w:ascii="Calibri" w:hAnsi="Calibri"/>
          <w:bCs/>
          <w:sz w:val="22"/>
          <w:szCs w:val="22"/>
        </w:rPr>
        <w:t>Röntgenstraße 22, 22335 Hamburg</w:t>
      </w:r>
    </w:p>
    <w:p w:rsidR="00CE0772" w:rsidRPr="00CE0772" w:rsidRDefault="00CE0772" w:rsidP="00CE0772">
      <w:pPr>
        <w:rPr>
          <w:rFonts w:cs="Calibri"/>
          <w:szCs w:val="22"/>
          <w:lang w:val="de-DE" w:eastAsia="en-US"/>
        </w:rPr>
      </w:pPr>
    </w:p>
    <w:p w:rsidR="00CE0772" w:rsidRPr="00CE0772" w:rsidRDefault="00CE0772" w:rsidP="00CE0772">
      <w:pPr>
        <w:rPr>
          <w:b/>
          <w:szCs w:val="22"/>
          <w:lang w:val="de-DE"/>
        </w:rPr>
      </w:pPr>
      <w:r w:rsidRPr="00CE0772">
        <w:rPr>
          <w:b/>
          <w:szCs w:val="22"/>
          <w:lang w:val="de-DE"/>
        </w:rPr>
        <w:t>Über Philips Lighting</w:t>
      </w:r>
    </w:p>
    <w:p w:rsidR="00CE0772" w:rsidRPr="00C80BC7" w:rsidRDefault="00CE0772" w:rsidP="00CE0772">
      <w:pPr>
        <w:pStyle w:val="NurText"/>
        <w:rPr>
          <w:rFonts w:ascii="Calibri" w:hAnsi="Calibri" w:cs="Arial"/>
          <w:sz w:val="22"/>
          <w:szCs w:val="22"/>
          <w:lang w:val="de-DE"/>
        </w:rPr>
      </w:pPr>
      <w:r w:rsidRPr="00C80BC7">
        <w:rPr>
          <w:rFonts w:ascii="Calibri" w:hAnsi="Calibri"/>
          <w:sz w:val="22"/>
          <w:szCs w:val="22"/>
        </w:rPr>
        <w:t xml:space="preserve">Philips Lighting ist ein Unternehmen von Royal Philips (NYSE: PHG, AEX: PHIA) und der weltweit führende Anbieter von Beleuchtungsprodukten, -systemen sowie -services. Wir kombinieren unser Verständnis um die positive Wirkung von Licht auf Menschen mit unserem umfassenden technologischen Know-how, um einzigartige, digitale Beleuchtungssysteme zu schaffen, die Anwendern neue Geschäftsfelder erschließen und das Leben von Menschen verbessern. Sowohl für Geschäftskunden als auch für Endverbraucher verkaufen wir mehr energieeffiziente LED-Beleuchtung als jedes andere Unternehmen. Philips Lighting ist führend im Markt für </w:t>
      </w:r>
      <w:proofErr w:type="spellStart"/>
      <w:r w:rsidRPr="00C80BC7">
        <w:rPr>
          <w:rFonts w:ascii="Calibri" w:hAnsi="Calibri"/>
          <w:sz w:val="22"/>
          <w:szCs w:val="22"/>
        </w:rPr>
        <w:t>Connected</w:t>
      </w:r>
      <w:proofErr w:type="spellEnd"/>
      <w:r w:rsidRPr="00C80BC7">
        <w:rPr>
          <w:rFonts w:ascii="Calibri" w:hAnsi="Calibri"/>
          <w:sz w:val="22"/>
          <w:szCs w:val="22"/>
        </w:rPr>
        <w:t xml:space="preserve">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>-Systeme und professionelle Dienstleistungen. Wir nutzen das Internet der Dinge, um Licht auch jenseits reiner Beleuchtung in eine vollständig vernetzte Welt zu transformieren – zuhause, in Gebäuden sowie in urbanen Räumen. 2015 haben wir weltweit mit 33.000 Mitarbeitern einen Umsatz von 7,4 Milliarden Euro erzielt.</w:t>
      </w:r>
    </w:p>
    <w:p w:rsidR="00225849" w:rsidRPr="00963C38" w:rsidRDefault="00225849" w:rsidP="00CE0772">
      <w:pPr>
        <w:ind w:right="-567"/>
        <w:rPr>
          <w:rFonts w:cs="Arial"/>
          <w:szCs w:val="22"/>
          <w:lang w:val="de-DE"/>
        </w:rPr>
      </w:pPr>
    </w:p>
    <w:sectPr w:rsidR="00225849" w:rsidRPr="00963C38" w:rsidSect="001C2732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C2" w:rsidRDefault="004A3BC2">
      <w:r>
        <w:separator/>
      </w:r>
    </w:p>
  </w:endnote>
  <w:endnote w:type="continuationSeparator" w:id="0">
    <w:p w:rsidR="004A3BC2" w:rsidRDefault="004A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:rsidTr="00F77841">
      <w:trPr>
        <w:cantSplit/>
        <w:trHeight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9E2945" w:rsidRPr="009E2945" w:rsidRDefault="00AD18FB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>
                <wp:extent cx="450850" cy="571500"/>
                <wp:effectExtent l="0" t="0" r="6350" b="0"/>
                <wp:docPr id="6" name="Picture 21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1CBD" w:rsidRPr="00141CBD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:rsidTr="00F77841">
      <w:trPr>
        <w:cantSplit/>
        <w:trHeight w:hRule="exact"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:rsidTr="00F77841">
      <w:trPr>
        <w:cantSplit/>
        <w:trHeight w:val="493"/>
      </w:trPr>
      <w:tc>
        <w:tcPr>
          <w:tcW w:w="8414" w:type="dxa"/>
        </w:tcPr>
        <w:p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C2" w:rsidRDefault="004A3BC2">
      <w:r>
        <w:separator/>
      </w:r>
    </w:p>
  </w:footnote>
  <w:footnote w:type="continuationSeparator" w:id="0">
    <w:p w:rsidR="004A3BC2" w:rsidRDefault="004A3BC2">
      <w:r>
        <w:continuationSeparator/>
      </w:r>
    </w:p>
  </w:footnote>
  <w:footnote w:id="1">
    <w:p w:rsidR="00E44E77" w:rsidRPr="00B64AD3" w:rsidRDefault="00E44E77" w:rsidP="00E44E77">
      <w:pPr>
        <w:pStyle w:val="Funotentext"/>
        <w:rPr>
          <w:rFonts w:asciiTheme="minorHAnsi" w:hAnsiTheme="minorHAnsi"/>
        </w:rPr>
      </w:pPr>
      <w:r w:rsidRPr="00B64AD3">
        <w:rPr>
          <w:rStyle w:val="Funotenzeichen"/>
          <w:rFonts w:asciiTheme="minorHAnsi" w:hAnsiTheme="minorHAnsi" w:cs="Arial"/>
          <w:sz w:val="16"/>
          <w:szCs w:val="16"/>
        </w:rPr>
        <w:footnoteRef/>
      </w:r>
      <w:r w:rsidRPr="00B64AD3">
        <w:rPr>
          <w:rFonts w:asciiTheme="minorHAnsi" w:hAnsiTheme="minorHAnsi" w:cs="Arial"/>
          <w:sz w:val="16"/>
          <w:szCs w:val="16"/>
        </w:rPr>
        <w:t xml:space="preserve"> Die höchste Bewertung gemäß der international anerkannten BREEAM-Methode (Building Research Establishment Environme</w:t>
      </w:r>
      <w:r w:rsidRPr="00B64AD3">
        <w:rPr>
          <w:rFonts w:asciiTheme="minorHAnsi" w:hAnsiTheme="minorHAnsi" w:cs="Arial"/>
          <w:sz w:val="16"/>
          <w:szCs w:val="16"/>
        </w:rPr>
        <w:t>n</w:t>
      </w:r>
      <w:r w:rsidRPr="00B64AD3">
        <w:rPr>
          <w:rFonts w:asciiTheme="minorHAnsi" w:hAnsiTheme="minorHAnsi" w:cs="Arial"/>
          <w:sz w:val="16"/>
          <w:szCs w:val="16"/>
        </w:rPr>
        <w:t xml:space="preserve">tal Assessment </w:t>
      </w:r>
      <w:proofErr w:type="spellStart"/>
      <w:r w:rsidRPr="00B64AD3">
        <w:rPr>
          <w:rFonts w:asciiTheme="minorHAnsi" w:hAnsiTheme="minorHAnsi" w:cs="Arial"/>
          <w:sz w:val="16"/>
          <w:szCs w:val="16"/>
        </w:rPr>
        <w:t>Method</w:t>
      </w:r>
      <w:proofErr w:type="spellEnd"/>
      <w:r w:rsidRPr="00B64AD3">
        <w:rPr>
          <w:rFonts w:asciiTheme="minorHAnsi" w:hAnsiTheme="minorHAnsi" w:cs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AD18FB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78F3ABF3" wp14:editId="3718770C">
          <wp:extent cx="1104900" cy="196850"/>
          <wp:effectExtent l="0" t="0" r="0" b="0"/>
          <wp:docPr id="8" name="Picture 15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CBD" w:rsidRPr="00141CBD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:rsidR="00141CBD" w:rsidRDefault="00801EEE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141CBD" w:rsidRDefault="00141CBD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141CBD" w:rsidRDefault="00141CBD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801EEE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B9092C" w:rsidRPr="004839F9" w:rsidRDefault="00DD704A" w:rsidP="00B9092C">
          <w:pPr>
            <w:rPr>
              <w:sz w:val="16"/>
              <w:szCs w:val="16"/>
            </w:rPr>
          </w:pPr>
          <w:bookmarkStart w:id="3" w:name="Page"/>
          <w:proofErr w:type="spellStart"/>
          <w:r>
            <w:rPr>
              <w:rFonts w:cs="Calibri"/>
              <w:sz w:val="16"/>
              <w:szCs w:val="16"/>
              <w:lang w:eastAsia="en-US"/>
            </w:rPr>
            <w:t>März</w:t>
          </w:r>
          <w:proofErr w:type="spellEnd"/>
          <w:r w:rsidR="00B9092C" w:rsidRPr="00D768CC">
            <w:rPr>
              <w:rFonts w:cs="Calibri"/>
              <w:sz w:val="16"/>
              <w:szCs w:val="16"/>
              <w:lang w:eastAsia="en-US"/>
            </w:rPr>
            <w:t xml:space="preserve"> 201</w:t>
          </w:r>
          <w:r>
            <w:rPr>
              <w:rFonts w:cs="Calibri"/>
              <w:sz w:val="16"/>
              <w:szCs w:val="16"/>
              <w:lang w:eastAsia="en-US"/>
            </w:rPr>
            <w:t>6</w:t>
          </w:r>
        </w:p>
        <w:p w:rsidR="005D0415" w:rsidRPr="0001308C" w:rsidRDefault="00B9092C" w:rsidP="00B9092C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754886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  <w:rPr>
        <w:lang w:val="en-GB"/>
      </w:rPr>
    </w:pPr>
    <w:bookmarkStart w:id="5" w:name="Dashes"/>
    <w:bookmarkEnd w:id="4"/>
  </w:p>
  <w:p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:rsidR="005D0415" w:rsidRDefault="00AD18FB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10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1FA86F" id="Line 66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DGDGG4TAgAA&#10;Mw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9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5C13C5" id="Line 6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9F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NNe&#10;30U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D426B5" w:rsidRDefault="00AD18FB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>
          <wp:extent cx="1784350" cy="336550"/>
          <wp:effectExtent l="0" t="0" r="6350" b="6350"/>
          <wp:docPr id="7" name="Picture 15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CBD" w:rsidRPr="00141CBD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E77"/>
    <w:multiLevelType w:val="multilevel"/>
    <w:tmpl w:val="8AD48D34"/>
    <w:lvl w:ilvl="0">
      <w:start w:val="1"/>
      <w:numFmt w:val="bullet"/>
      <w:lvlText w:val="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</w:abstractNum>
  <w:abstractNum w:abstractNumId="1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4C57180"/>
    <w:multiLevelType w:val="hybridMultilevel"/>
    <w:tmpl w:val="22D4A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2-25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53C6"/>
    <w:rsid w:val="000129B9"/>
    <w:rsid w:val="0001308C"/>
    <w:rsid w:val="00014DF8"/>
    <w:rsid w:val="00014F84"/>
    <w:rsid w:val="000211DA"/>
    <w:rsid w:val="000260FC"/>
    <w:rsid w:val="00035A19"/>
    <w:rsid w:val="00037F0D"/>
    <w:rsid w:val="00041670"/>
    <w:rsid w:val="00042FE5"/>
    <w:rsid w:val="00047D5C"/>
    <w:rsid w:val="000568D8"/>
    <w:rsid w:val="00056E22"/>
    <w:rsid w:val="00061F58"/>
    <w:rsid w:val="000625CA"/>
    <w:rsid w:val="00063670"/>
    <w:rsid w:val="00064D58"/>
    <w:rsid w:val="000716D6"/>
    <w:rsid w:val="000739DD"/>
    <w:rsid w:val="0007718C"/>
    <w:rsid w:val="00081964"/>
    <w:rsid w:val="00091FB2"/>
    <w:rsid w:val="0009263A"/>
    <w:rsid w:val="00093B90"/>
    <w:rsid w:val="000943AB"/>
    <w:rsid w:val="0009471A"/>
    <w:rsid w:val="000A2068"/>
    <w:rsid w:val="000A6A40"/>
    <w:rsid w:val="000B50AE"/>
    <w:rsid w:val="000C36F2"/>
    <w:rsid w:val="000D21F6"/>
    <w:rsid w:val="000D2E72"/>
    <w:rsid w:val="000D5309"/>
    <w:rsid w:val="000E4D82"/>
    <w:rsid w:val="000F0507"/>
    <w:rsid w:val="000F2014"/>
    <w:rsid w:val="000F2F8C"/>
    <w:rsid w:val="000F5956"/>
    <w:rsid w:val="000F713C"/>
    <w:rsid w:val="00104CEA"/>
    <w:rsid w:val="00110B19"/>
    <w:rsid w:val="00117A79"/>
    <w:rsid w:val="0012462A"/>
    <w:rsid w:val="00124843"/>
    <w:rsid w:val="00141CBD"/>
    <w:rsid w:val="00150E49"/>
    <w:rsid w:val="001639CF"/>
    <w:rsid w:val="00195ADF"/>
    <w:rsid w:val="00195C05"/>
    <w:rsid w:val="001A19B9"/>
    <w:rsid w:val="001A4898"/>
    <w:rsid w:val="001C2732"/>
    <w:rsid w:val="001D6BEB"/>
    <w:rsid w:val="001E0E74"/>
    <w:rsid w:val="001E388F"/>
    <w:rsid w:val="001E4783"/>
    <w:rsid w:val="001E4A09"/>
    <w:rsid w:val="001E7B4E"/>
    <w:rsid w:val="001F20C1"/>
    <w:rsid w:val="001F7171"/>
    <w:rsid w:val="00205E8C"/>
    <w:rsid w:val="00216DAF"/>
    <w:rsid w:val="00221DD3"/>
    <w:rsid w:val="00224E19"/>
    <w:rsid w:val="00225849"/>
    <w:rsid w:val="00237852"/>
    <w:rsid w:val="00242321"/>
    <w:rsid w:val="00255825"/>
    <w:rsid w:val="002566B8"/>
    <w:rsid w:val="00264E06"/>
    <w:rsid w:val="00274407"/>
    <w:rsid w:val="002927F8"/>
    <w:rsid w:val="00294180"/>
    <w:rsid w:val="002A2AA4"/>
    <w:rsid w:val="002A3105"/>
    <w:rsid w:val="002A3A2F"/>
    <w:rsid w:val="002A5EA6"/>
    <w:rsid w:val="002B162F"/>
    <w:rsid w:val="002B7A9C"/>
    <w:rsid w:val="002C3953"/>
    <w:rsid w:val="002C7229"/>
    <w:rsid w:val="002D465C"/>
    <w:rsid w:val="002E2AE1"/>
    <w:rsid w:val="002E6842"/>
    <w:rsid w:val="002F1CB2"/>
    <w:rsid w:val="002F3785"/>
    <w:rsid w:val="002F7FAA"/>
    <w:rsid w:val="00303852"/>
    <w:rsid w:val="003105DD"/>
    <w:rsid w:val="0032047C"/>
    <w:rsid w:val="003208C8"/>
    <w:rsid w:val="00320CC3"/>
    <w:rsid w:val="00321D12"/>
    <w:rsid w:val="003232F0"/>
    <w:rsid w:val="0032484E"/>
    <w:rsid w:val="003257CC"/>
    <w:rsid w:val="00326C5C"/>
    <w:rsid w:val="00331931"/>
    <w:rsid w:val="00334962"/>
    <w:rsid w:val="0034334E"/>
    <w:rsid w:val="00347FA3"/>
    <w:rsid w:val="00350F6A"/>
    <w:rsid w:val="0035650B"/>
    <w:rsid w:val="0036029F"/>
    <w:rsid w:val="00360F4F"/>
    <w:rsid w:val="00362C9D"/>
    <w:rsid w:val="00363923"/>
    <w:rsid w:val="00383300"/>
    <w:rsid w:val="003C6D5E"/>
    <w:rsid w:val="003C7BC4"/>
    <w:rsid w:val="003E2C81"/>
    <w:rsid w:val="003E696C"/>
    <w:rsid w:val="003F62D4"/>
    <w:rsid w:val="004033EC"/>
    <w:rsid w:val="00412931"/>
    <w:rsid w:val="00431130"/>
    <w:rsid w:val="00432D59"/>
    <w:rsid w:val="004339B0"/>
    <w:rsid w:val="0044687A"/>
    <w:rsid w:val="004538EB"/>
    <w:rsid w:val="00461B46"/>
    <w:rsid w:val="00463973"/>
    <w:rsid w:val="00464CE7"/>
    <w:rsid w:val="0046673D"/>
    <w:rsid w:val="004821C5"/>
    <w:rsid w:val="004839F9"/>
    <w:rsid w:val="00491078"/>
    <w:rsid w:val="004A0500"/>
    <w:rsid w:val="004A084D"/>
    <w:rsid w:val="004A3BC2"/>
    <w:rsid w:val="004B4E4C"/>
    <w:rsid w:val="004D5872"/>
    <w:rsid w:val="004E6C2B"/>
    <w:rsid w:val="00504D3E"/>
    <w:rsid w:val="00510B95"/>
    <w:rsid w:val="00514AB2"/>
    <w:rsid w:val="00515460"/>
    <w:rsid w:val="0053500C"/>
    <w:rsid w:val="00546E34"/>
    <w:rsid w:val="0054717D"/>
    <w:rsid w:val="00553441"/>
    <w:rsid w:val="0055753F"/>
    <w:rsid w:val="005622C0"/>
    <w:rsid w:val="00567F5D"/>
    <w:rsid w:val="00570A71"/>
    <w:rsid w:val="00580EC0"/>
    <w:rsid w:val="00591CBB"/>
    <w:rsid w:val="00596E4B"/>
    <w:rsid w:val="005A0B1A"/>
    <w:rsid w:val="005D0415"/>
    <w:rsid w:val="005D4535"/>
    <w:rsid w:val="005F7246"/>
    <w:rsid w:val="005F7F3F"/>
    <w:rsid w:val="0060195B"/>
    <w:rsid w:val="0060452B"/>
    <w:rsid w:val="006110EB"/>
    <w:rsid w:val="006204FC"/>
    <w:rsid w:val="00621DD7"/>
    <w:rsid w:val="00626801"/>
    <w:rsid w:val="006328FF"/>
    <w:rsid w:val="006412EC"/>
    <w:rsid w:val="0064651D"/>
    <w:rsid w:val="00655FD3"/>
    <w:rsid w:val="00671080"/>
    <w:rsid w:val="00671BF6"/>
    <w:rsid w:val="006769C4"/>
    <w:rsid w:val="00692709"/>
    <w:rsid w:val="00694039"/>
    <w:rsid w:val="00694CBB"/>
    <w:rsid w:val="006A5164"/>
    <w:rsid w:val="006B65E0"/>
    <w:rsid w:val="006C6A1E"/>
    <w:rsid w:val="006D2DA8"/>
    <w:rsid w:val="006D40B8"/>
    <w:rsid w:val="006D6BA4"/>
    <w:rsid w:val="006D77D5"/>
    <w:rsid w:val="006D7A4F"/>
    <w:rsid w:val="006E0558"/>
    <w:rsid w:val="006E365A"/>
    <w:rsid w:val="006F228B"/>
    <w:rsid w:val="006F50A9"/>
    <w:rsid w:val="00700037"/>
    <w:rsid w:val="00700F5A"/>
    <w:rsid w:val="00713A54"/>
    <w:rsid w:val="00715638"/>
    <w:rsid w:val="00717975"/>
    <w:rsid w:val="00717AC7"/>
    <w:rsid w:val="0072438F"/>
    <w:rsid w:val="007265AF"/>
    <w:rsid w:val="0073157C"/>
    <w:rsid w:val="007419B6"/>
    <w:rsid w:val="00746C82"/>
    <w:rsid w:val="007544DB"/>
    <w:rsid w:val="00754886"/>
    <w:rsid w:val="00754D1D"/>
    <w:rsid w:val="00754E15"/>
    <w:rsid w:val="0076069B"/>
    <w:rsid w:val="007651B4"/>
    <w:rsid w:val="00765796"/>
    <w:rsid w:val="00767F9F"/>
    <w:rsid w:val="007740EE"/>
    <w:rsid w:val="00775792"/>
    <w:rsid w:val="007852E7"/>
    <w:rsid w:val="0079197B"/>
    <w:rsid w:val="00794DF8"/>
    <w:rsid w:val="007974C4"/>
    <w:rsid w:val="007B1B4C"/>
    <w:rsid w:val="007B2DD4"/>
    <w:rsid w:val="007B3875"/>
    <w:rsid w:val="007B7A09"/>
    <w:rsid w:val="007D253C"/>
    <w:rsid w:val="007E7513"/>
    <w:rsid w:val="007E7D83"/>
    <w:rsid w:val="007F663B"/>
    <w:rsid w:val="00801EEE"/>
    <w:rsid w:val="008065CA"/>
    <w:rsid w:val="008104E1"/>
    <w:rsid w:val="00817D5D"/>
    <w:rsid w:val="00837998"/>
    <w:rsid w:val="00853B26"/>
    <w:rsid w:val="008608DA"/>
    <w:rsid w:val="00880FB4"/>
    <w:rsid w:val="00890B3F"/>
    <w:rsid w:val="008917CD"/>
    <w:rsid w:val="00891C5A"/>
    <w:rsid w:val="00893E98"/>
    <w:rsid w:val="008A497A"/>
    <w:rsid w:val="008A5A22"/>
    <w:rsid w:val="008B09FD"/>
    <w:rsid w:val="008B7637"/>
    <w:rsid w:val="008B7FD5"/>
    <w:rsid w:val="008C731D"/>
    <w:rsid w:val="008C7D81"/>
    <w:rsid w:val="008D33BF"/>
    <w:rsid w:val="008D5BB2"/>
    <w:rsid w:val="008D5EB4"/>
    <w:rsid w:val="008F0376"/>
    <w:rsid w:val="008F3B50"/>
    <w:rsid w:val="008F4C19"/>
    <w:rsid w:val="008F6A63"/>
    <w:rsid w:val="008F7DC3"/>
    <w:rsid w:val="00900711"/>
    <w:rsid w:val="00904CCB"/>
    <w:rsid w:val="00914EB5"/>
    <w:rsid w:val="009234D7"/>
    <w:rsid w:val="009249FF"/>
    <w:rsid w:val="0094050F"/>
    <w:rsid w:val="009432E0"/>
    <w:rsid w:val="0094371D"/>
    <w:rsid w:val="00961751"/>
    <w:rsid w:val="00962D0E"/>
    <w:rsid w:val="00963C38"/>
    <w:rsid w:val="00976DEC"/>
    <w:rsid w:val="009836E6"/>
    <w:rsid w:val="009922DB"/>
    <w:rsid w:val="0099247B"/>
    <w:rsid w:val="0099454B"/>
    <w:rsid w:val="0099456C"/>
    <w:rsid w:val="00994DFE"/>
    <w:rsid w:val="009A302D"/>
    <w:rsid w:val="009A335E"/>
    <w:rsid w:val="009B03CB"/>
    <w:rsid w:val="009B05E5"/>
    <w:rsid w:val="009C1A51"/>
    <w:rsid w:val="009C617B"/>
    <w:rsid w:val="009D026B"/>
    <w:rsid w:val="009D0765"/>
    <w:rsid w:val="009D3885"/>
    <w:rsid w:val="009D62F2"/>
    <w:rsid w:val="009E2945"/>
    <w:rsid w:val="009E523C"/>
    <w:rsid w:val="009F0F23"/>
    <w:rsid w:val="00A0626A"/>
    <w:rsid w:val="00A241E6"/>
    <w:rsid w:val="00A4142E"/>
    <w:rsid w:val="00A41E2E"/>
    <w:rsid w:val="00A45509"/>
    <w:rsid w:val="00A473C3"/>
    <w:rsid w:val="00A507AE"/>
    <w:rsid w:val="00A539A4"/>
    <w:rsid w:val="00A56244"/>
    <w:rsid w:val="00A579C6"/>
    <w:rsid w:val="00A613E1"/>
    <w:rsid w:val="00A616B5"/>
    <w:rsid w:val="00A7117D"/>
    <w:rsid w:val="00A90940"/>
    <w:rsid w:val="00A939CF"/>
    <w:rsid w:val="00AA1551"/>
    <w:rsid w:val="00AA3BCC"/>
    <w:rsid w:val="00AB1495"/>
    <w:rsid w:val="00AB343B"/>
    <w:rsid w:val="00AC16BE"/>
    <w:rsid w:val="00AD18FB"/>
    <w:rsid w:val="00AD6ADD"/>
    <w:rsid w:val="00AD6CC5"/>
    <w:rsid w:val="00AD7FD4"/>
    <w:rsid w:val="00AE0637"/>
    <w:rsid w:val="00AE3233"/>
    <w:rsid w:val="00AF74AD"/>
    <w:rsid w:val="00B06187"/>
    <w:rsid w:val="00B17D37"/>
    <w:rsid w:val="00B22224"/>
    <w:rsid w:val="00B2716C"/>
    <w:rsid w:val="00B279D3"/>
    <w:rsid w:val="00B501A0"/>
    <w:rsid w:val="00B57495"/>
    <w:rsid w:val="00B63A04"/>
    <w:rsid w:val="00B64A27"/>
    <w:rsid w:val="00B64AD3"/>
    <w:rsid w:val="00B728A6"/>
    <w:rsid w:val="00B748FF"/>
    <w:rsid w:val="00B75679"/>
    <w:rsid w:val="00B77B78"/>
    <w:rsid w:val="00B9092C"/>
    <w:rsid w:val="00BA1932"/>
    <w:rsid w:val="00BA1E7F"/>
    <w:rsid w:val="00BA2795"/>
    <w:rsid w:val="00BA71D4"/>
    <w:rsid w:val="00BB3AE4"/>
    <w:rsid w:val="00BC05B8"/>
    <w:rsid w:val="00C019FA"/>
    <w:rsid w:val="00C01DCE"/>
    <w:rsid w:val="00C15470"/>
    <w:rsid w:val="00C16D9B"/>
    <w:rsid w:val="00C262C1"/>
    <w:rsid w:val="00C32387"/>
    <w:rsid w:val="00C34F31"/>
    <w:rsid w:val="00C35499"/>
    <w:rsid w:val="00C35879"/>
    <w:rsid w:val="00C42352"/>
    <w:rsid w:val="00C575CF"/>
    <w:rsid w:val="00C612D6"/>
    <w:rsid w:val="00C73796"/>
    <w:rsid w:val="00C74E33"/>
    <w:rsid w:val="00C80E08"/>
    <w:rsid w:val="00C90041"/>
    <w:rsid w:val="00C96175"/>
    <w:rsid w:val="00CC4CE1"/>
    <w:rsid w:val="00CD3E78"/>
    <w:rsid w:val="00CE0772"/>
    <w:rsid w:val="00CE46FA"/>
    <w:rsid w:val="00CE713D"/>
    <w:rsid w:val="00CF4B64"/>
    <w:rsid w:val="00CF4E87"/>
    <w:rsid w:val="00CF7846"/>
    <w:rsid w:val="00D009FF"/>
    <w:rsid w:val="00D1118A"/>
    <w:rsid w:val="00D17ECB"/>
    <w:rsid w:val="00D20B3E"/>
    <w:rsid w:val="00D26E5E"/>
    <w:rsid w:val="00D31A0E"/>
    <w:rsid w:val="00D426B5"/>
    <w:rsid w:val="00D56FC7"/>
    <w:rsid w:val="00D57748"/>
    <w:rsid w:val="00D60AE9"/>
    <w:rsid w:val="00D62280"/>
    <w:rsid w:val="00D67CA7"/>
    <w:rsid w:val="00D67EED"/>
    <w:rsid w:val="00D768CC"/>
    <w:rsid w:val="00D76CA6"/>
    <w:rsid w:val="00D77FE1"/>
    <w:rsid w:val="00D816A1"/>
    <w:rsid w:val="00D901BA"/>
    <w:rsid w:val="00D9238D"/>
    <w:rsid w:val="00D93ACF"/>
    <w:rsid w:val="00D947D2"/>
    <w:rsid w:val="00D948B8"/>
    <w:rsid w:val="00D957C3"/>
    <w:rsid w:val="00D964F8"/>
    <w:rsid w:val="00DA1831"/>
    <w:rsid w:val="00DA60CC"/>
    <w:rsid w:val="00DB0D0D"/>
    <w:rsid w:val="00DB6626"/>
    <w:rsid w:val="00DC72B7"/>
    <w:rsid w:val="00DD3D62"/>
    <w:rsid w:val="00DD5243"/>
    <w:rsid w:val="00DD704A"/>
    <w:rsid w:val="00DE5CC8"/>
    <w:rsid w:val="00DE5EA6"/>
    <w:rsid w:val="00DF4C76"/>
    <w:rsid w:val="00E10A1F"/>
    <w:rsid w:val="00E17F57"/>
    <w:rsid w:val="00E201D8"/>
    <w:rsid w:val="00E2088F"/>
    <w:rsid w:val="00E3314F"/>
    <w:rsid w:val="00E40199"/>
    <w:rsid w:val="00E439A6"/>
    <w:rsid w:val="00E44E77"/>
    <w:rsid w:val="00E45978"/>
    <w:rsid w:val="00E502E5"/>
    <w:rsid w:val="00E50437"/>
    <w:rsid w:val="00E529B9"/>
    <w:rsid w:val="00E56397"/>
    <w:rsid w:val="00E60953"/>
    <w:rsid w:val="00E62463"/>
    <w:rsid w:val="00E667D9"/>
    <w:rsid w:val="00E667DB"/>
    <w:rsid w:val="00E70F79"/>
    <w:rsid w:val="00E71638"/>
    <w:rsid w:val="00E72865"/>
    <w:rsid w:val="00E732AD"/>
    <w:rsid w:val="00E73C6E"/>
    <w:rsid w:val="00E74387"/>
    <w:rsid w:val="00E7471D"/>
    <w:rsid w:val="00E75F6B"/>
    <w:rsid w:val="00E84385"/>
    <w:rsid w:val="00E85731"/>
    <w:rsid w:val="00EA175A"/>
    <w:rsid w:val="00EB1008"/>
    <w:rsid w:val="00EB207D"/>
    <w:rsid w:val="00EC5321"/>
    <w:rsid w:val="00EC7BB4"/>
    <w:rsid w:val="00EE2169"/>
    <w:rsid w:val="00EE31F5"/>
    <w:rsid w:val="00EE7C13"/>
    <w:rsid w:val="00EF1DC0"/>
    <w:rsid w:val="00F036EC"/>
    <w:rsid w:val="00F04348"/>
    <w:rsid w:val="00F07497"/>
    <w:rsid w:val="00F21B89"/>
    <w:rsid w:val="00F224EF"/>
    <w:rsid w:val="00F26357"/>
    <w:rsid w:val="00F275EA"/>
    <w:rsid w:val="00F30804"/>
    <w:rsid w:val="00F30F09"/>
    <w:rsid w:val="00F31B17"/>
    <w:rsid w:val="00F34658"/>
    <w:rsid w:val="00F42983"/>
    <w:rsid w:val="00F46211"/>
    <w:rsid w:val="00F63D95"/>
    <w:rsid w:val="00F64725"/>
    <w:rsid w:val="00F64C09"/>
    <w:rsid w:val="00F72B37"/>
    <w:rsid w:val="00F77841"/>
    <w:rsid w:val="00F77C4A"/>
    <w:rsid w:val="00F81A56"/>
    <w:rsid w:val="00F8381C"/>
    <w:rsid w:val="00F8402A"/>
    <w:rsid w:val="00F85737"/>
    <w:rsid w:val="00F85DFC"/>
    <w:rsid w:val="00F95240"/>
    <w:rsid w:val="00F9574B"/>
    <w:rsid w:val="00FA040B"/>
    <w:rsid w:val="00FA14EC"/>
    <w:rsid w:val="00FA31C1"/>
    <w:rsid w:val="00FA4C62"/>
    <w:rsid w:val="00FB326A"/>
    <w:rsid w:val="00FB5766"/>
    <w:rsid w:val="00FC1FE1"/>
    <w:rsid w:val="00FD2B8A"/>
    <w:rsid w:val="00FE0A7E"/>
    <w:rsid w:val="00FE1576"/>
    <w:rsid w:val="00FE3DAE"/>
    <w:rsid w:val="00FF2F34"/>
    <w:rsid w:val="00FF5094"/>
    <w:rsid w:val="00FF5CD8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AD18FB"/>
    <w:rPr>
      <w:sz w:val="20"/>
      <w:lang w:val="de-DE" w:bidi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18FB"/>
    <w:rPr>
      <w:rFonts w:ascii="Calibri" w:hAnsi="Calibri"/>
      <w:lang w:bidi="de-DE"/>
    </w:rPr>
  </w:style>
  <w:style w:type="character" w:styleId="Funotenzeichen">
    <w:name w:val="footnote reference"/>
    <w:uiPriority w:val="99"/>
    <w:unhideWhenUsed/>
    <w:rsid w:val="00AD18FB"/>
    <w:rPr>
      <w:vertAlign w:val="superscript"/>
    </w:rPr>
  </w:style>
  <w:style w:type="paragraph" w:styleId="Listenabsatz">
    <w:name w:val="List Paragraph"/>
    <w:basedOn w:val="Standard"/>
    <w:uiPriority w:val="34"/>
    <w:rsid w:val="00AD18FB"/>
    <w:pPr>
      <w:ind w:left="720"/>
      <w:contextualSpacing/>
    </w:pPr>
    <w:rPr>
      <w:lang w:val="de-DE" w:bidi="de-DE"/>
    </w:rPr>
  </w:style>
  <w:style w:type="paragraph" w:styleId="Textkrper">
    <w:name w:val="Body Text"/>
    <w:basedOn w:val="Standard"/>
    <w:link w:val="TextkrperZchn"/>
    <w:rsid w:val="00CE0772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CE0772"/>
    <w:rPr>
      <w:rFonts w:ascii="Garamond" w:hAnsi="Garamond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AD18FB"/>
    <w:rPr>
      <w:sz w:val="20"/>
      <w:lang w:val="de-DE" w:bidi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18FB"/>
    <w:rPr>
      <w:rFonts w:ascii="Calibri" w:hAnsi="Calibri"/>
      <w:lang w:bidi="de-DE"/>
    </w:rPr>
  </w:style>
  <w:style w:type="character" w:styleId="Funotenzeichen">
    <w:name w:val="footnote reference"/>
    <w:uiPriority w:val="99"/>
    <w:unhideWhenUsed/>
    <w:rsid w:val="00AD18FB"/>
    <w:rPr>
      <w:vertAlign w:val="superscript"/>
    </w:rPr>
  </w:style>
  <w:style w:type="paragraph" w:styleId="Listenabsatz">
    <w:name w:val="List Paragraph"/>
    <w:basedOn w:val="Standard"/>
    <w:uiPriority w:val="34"/>
    <w:rsid w:val="00AD18FB"/>
    <w:pPr>
      <w:ind w:left="720"/>
      <w:contextualSpacing/>
    </w:pPr>
    <w:rPr>
      <w:lang w:val="de-DE" w:bidi="de-DE"/>
    </w:rPr>
  </w:style>
  <w:style w:type="paragraph" w:styleId="Textkrper">
    <w:name w:val="Body Text"/>
    <w:basedOn w:val="Standard"/>
    <w:link w:val="TextkrperZchn"/>
    <w:rsid w:val="00CE0772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CE0772"/>
    <w:rPr>
      <w:rFonts w:ascii="Garamond" w:hAnsi="Garamond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iver.klug@philip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rnd.glaser@philip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7EB7-22BF-4FC5-8E37-0F0D3103F536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3107B-3D9E-480C-A40A-A9173155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6084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6926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18</cp:revision>
  <cp:lastPrinted>2015-02-25T08:37:00Z</cp:lastPrinted>
  <dcterms:created xsi:type="dcterms:W3CDTF">2016-02-08T09:51:00Z</dcterms:created>
  <dcterms:modified xsi:type="dcterms:W3CDTF">2016-03-08T15:35:00Z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