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0CF0" w14:textId="1DB33FFC" w:rsidR="007939C6" w:rsidRPr="002255A3" w:rsidRDefault="000628AD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تحدي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المئة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يوم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من جهاز 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لوميا من فيليبس (عرض ضمان 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استعادة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الأموال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) </w:t>
      </w:r>
      <w:r w:rsidR="007C17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الكويت</w:t>
      </w:r>
    </w:p>
    <w:p w14:paraId="61001A98" w14:textId="77777777" w:rsidR="00F45DEB" w:rsidRPr="002255A3" w:rsidRDefault="00F45DEB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14:paraId="5C091707" w14:textId="77777777" w:rsidR="00A11D4E" w:rsidRPr="00C04A4C" w:rsidRDefault="009C362A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 والأحكام</w:t>
      </w:r>
    </w:p>
    <w:p w14:paraId="63C55144" w14:textId="17A62C95" w:rsidR="009C362A" w:rsidRPr="00C04A4C" w:rsidRDefault="00BE5108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1/</w:t>
      </w:r>
      <w:r w:rsidR="00F87D71">
        <w:rPr>
          <w:rFonts w:ascii="Simplified Arabic" w:hAnsi="Simplified Arabic" w:cs="Simplified Arabic"/>
          <w:sz w:val="26"/>
          <w:szCs w:val="26"/>
          <w:lang w:bidi="ar-LB"/>
        </w:rPr>
        <w:t>10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FF7EE6">
        <w:rPr>
          <w:rFonts w:ascii="Simplified Arabic" w:hAnsi="Simplified Arabic" w:cs="Simplified Arabic"/>
          <w:sz w:val="26"/>
          <w:szCs w:val="26"/>
          <w:lang w:bidi="ar-LB"/>
        </w:rPr>
        <w:t>2022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– </w:t>
      </w:r>
      <w:r w:rsidR="00FF7EE6">
        <w:rPr>
          <w:rFonts w:ascii="Simplified Arabic" w:hAnsi="Simplified Arabic" w:cs="Simplified Arabic"/>
          <w:sz w:val="26"/>
          <w:szCs w:val="26"/>
          <w:lang w:bidi="ar-LB"/>
        </w:rPr>
        <w:t>30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FF7EE6">
        <w:rPr>
          <w:rFonts w:ascii="Simplified Arabic" w:hAnsi="Simplified Arabic" w:cs="Simplified Arabic"/>
          <w:sz w:val="26"/>
          <w:szCs w:val="26"/>
          <w:lang w:bidi="ar-LB"/>
        </w:rPr>
        <w:t>11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FF7EE6">
        <w:rPr>
          <w:rFonts w:ascii="Simplified Arabic" w:hAnsi="Simplified Arabic" w:cs="Simplified Arabic"/>
          <w:sz w:val="26"/>
          <w:szCs w:val="26"/>
          <w:lang w:bidi="ar-LB"/>
        </w:rPr>
        <w:t>2022</w:t>
      </w:r>
    </w:p>
    <w:p w14:paraId="23CB82DC" w14:textId="77777777" w:rsidR="00AC1D6E" w:rsidRPr="00C04A4C" w:rsidRDefault="00AC1D6E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5167EDA4" w14:textId="77777777" w:rsidR="00BE5108" w:rsidRPr="00C04A4C" w:rsidRDefault="00AC1D6E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وصف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  <w:t xml:space="preserve"> 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العرض:</w:t>
      </w:r>
    </w:p>
    <w:p w14:paraId="1B147D81" w14:textId="4F4EE8E0" w:rsidR="00AC1D6E" w:rsidRPr="00C04A4C" w:rsidRDefault="00F45DEB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تتيح لكم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شركة فيليبس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للإلكترونيات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الشرق الأوسط وأفريقيا بي. في. (فرع دبي)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المشار إليها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بـ "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المروّج"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الفرصة للمطالبة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الكامل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إذا استخدمت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جهاز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لوميا 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923،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958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 فيليبس (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Philips </w:t>
      </w:r>
      <w:proofErr w:type="spellStart"/>
      <w:r w:rsidR="00AC1D6E" w:rsidRPr="00C04A4C">
        <w:rPr>
          <w:rFonts w:ascii="Simplified Arabic" w:hAnsi="Simplified Arabic" w:cs="Simplified Arabic"/>
          <w:sz w:val="26"/>
          <w:szCs w:val="26"/>
        </w:rPr>
        <w:t>Lumea</w:t>
      </w:r>
      <w:proofErr w:type="spellEnd"/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 BRI923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BRI958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</w:rPr>
        <w:t xml:space="preserve">)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(المشار إليه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المنتج المؤهل"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3F1A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لمدة م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ئة (100) يوم على الأقل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(على النحو الموصى به)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ولم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تكونوا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راضين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تمام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 عن أ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داء هذا المنتج المؤهل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</w:p>
    <w:p w14:paraId="7C1F77EE" w14:textId="77777777" w:rsidR="007855A5" w:rsidRPr="00C04A4C" w:rsidRDefault="00452C2E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(يشار إليه بـ "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العرض"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5E48DCE5" w14:textId="11261553" w:rsidR="008926AE" w:rsidRPr="00C04A4C" w:rsidRDefault="009C2FB6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يسري هذا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العرض 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DB0EF2">
        <w:rPr>
          <w:rFonts w:ascii="Simplified Arabic" w:hAnsi="Simplified Arabic" w:cs="Simplified Arabic" w:hint="cs"/>
          <w:sz w:val="26"/>
          <w:szCs w:val="26"/>
          <w:rtl/>
          <w:lang w:bidi="ar-LB"/>
        </w:rPr>
        <w:t>١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87D7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أكتوبر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F7EE6">
        <w:rPr>
          <w:rFonts w:ascii="Simplified Arabic" w:hAnsi="Simplified Arabic" w:cs="Simplified Arabic"/>
          <w:sz w:val="26"/>
          <w:szCs w:val="26"/>
          <w:lang w:bidi="ar-LB"/>
        </w:rPr>
        <w:t>2022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إلى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F7E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٣٠</w:t>
      </w:r>
      <w:r w:rsidR="009D3E4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F7EE6">
        <w:rPr>
          <w:rFonts w:ascii="Simplified Arabic" w:hAnsi="Simplified Arabic" w:cs="Simplified Arabic" w:hint="cs"/>
          <w:sz w:val="26"/>
          <w:szCs w:val="26"/>
          <w:rtl/>
          <w:lang w:bidi="ar-LB"/>
        </w:rPr>
        <w:t>نوفمبر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F7EE6">
        <w:rPr>
          <w:rFonts w:ascii="Simplified Arabic" w:hAnsi="Simplified Arabic" w:cs="Simplified Arabic"/>
          <w:sz w:val="26"/>
          <w:szCs w:val="26"/>
          <w:lang w:bidi="ar-LB"/>
        </w:rPr>
        <w:t>2022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(ي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 إليها ب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فترة الشراء"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C4F2BB6" w14:textId="77777777" w:rsidR="00BE4228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744CBBE2" w14:textId="77777777" w:rsidR="00E46EEF" w:rsidRPr="00C04A4C" w:rsidRDefault="00BE4228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الأحكام والشروط</w:t>
      </w:r>
      <w:r w:rsidR="00041442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:</w:t>
      </w:r>
    </w:p>
    <w:p w14:paraId="3ED0B3FA" w14:textId="77777777" w:rsidR="00D11400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لتكونوا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مؤهلين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للمطالبة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الكامل للمنتج المؤهل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عليكم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</w:t>
      </w:r>
    </w:p>
    <w:p w14:paraId="679566CB" w14:textId="77777777" w:rsidR="00BE4228" w:rsidRPr="00C04A4C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شراء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مؤهل خلال فترة الشراء من أيّ</w:t>
      </w:r>
      <w:r w:rsidR="00BE4228" w:rsidRPr="00C04A4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تاجر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تجزئ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ة مشارك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تابع لل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مروّج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المتجر أو عبر الإنترنت.</w:t>
      </w:r>
    </w:p>
    <w:p w14:paraId="699565F1" w14:textId="192E7E9D" w:rsidR="00E617BE" w:rsidRDefault="00E617BE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تشكل الأسماء التالية أسماء تجار التجزئة/ </w:t>
      </w:r>
      <w:r w:rsidR="00413E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تجار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التجزئة </w:t>
      </w:r>
      <w:r w:rsidR="003F47F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المشاركين:</w:t>
      </w:r>
    </w:p>
    <w:p w14:paraId="27BC0F6C" w14:textId="77777777" w:rsidR="00BE32D3" w:rsidRPr="00C04A4C" w:rsidRDefault="00BE32D3" w:rsidP="00BE32D3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2374B37B" w14:textId="603C61EF" w:rsidR="00E617BE" w:rsidRPr="003B07CA" w:rsidRDefault="00413E82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ت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ج</w:t>
      </w: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ا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ر التجزئة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: </w:t>
      </w:r>
      <w:r w:rsidR="00A33E5D">
        <w:rPr>
          <w:rFonts w:ascii="Simplified Arabic" w:hAnsi="Simplified Arabic" w:cs="Simplified Arabic"/>
          <w:sz w:val="26"/>
          <w:szCs w:val="26"/>
        </w:rPr>
        <w:t xml:space="preserve">x </w:t>
      </w:r>
      <w:proofErr w:type="spellStart"/>
      <w:r w:rsidR="00A33E5D">
        <w:rPr>
          <w:rFonts w:ascii="Simplified Arabic" w:hAnsi="Simplified Arabic" w:cs="Simplified Arabic" w:hint="cs"/>
          <w:sz w:val="26"/>
          <w:szCs w:val="26"/>
          <w:rtl/>
        </w:rPr>
        <w:t>سايت</w:t>
      </w:r>
      <w:proofErr w:type="spellEnd"/>
    </w:p>
    <w:p w14:paraId="4F1642DC" w14:textId="26D6AA5D" w:rsidR="00413E82" w:rsidRDefault="00413E82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 xml:space="preserve">تجار التجزئة </w:t>
      </w:r>
      <w:r w:rsidR="003F2F16"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>الالكترونية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: </w:t>
      </w:r>
      <w:r w:rsidR="00A33E5D">
        <w:rPr>
          <w:rFonts w:ascii="Simplified Arabic" w:hAnsi="Simplified Arabic" w:cs="Simplified Arabic"/>
          <w:sz w:val="26"/>
          <w:szCs w:val="26"/>
        </w:rPr>
        <w:t xml:space="preserve">x </w:t>
      </w:r>
      <w:proofErr w:type="spellStart"/>
      <w:r w:rsidR="00A33E5D">
        <w:rPr>
          <w:rFonts w:ascii="Simplified Arabic" w:hAnsi="Simplified Arabic" w:cs="Simplified Arabic" w:hint="cs"/>
          <w:sz w:val="26"/>
          <w:szCs w:val="26"/>
          <w:rtl/>
        </w:rPr>
        <w:t>سايت</w:t>
      </w:r>
      <w:proofErr w:type="spellEnd"/>
    </w:p>
    <w:p w14:paraId="240FCF36" w14:textId="77777777" w:rsidR="00C42C49" w:rsidRPr="00C42C49" w:rsidRDefault="00C42C49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0D8D0391" w14:textId="77777777" w:rsidR="008F46AE" w:rsidRPr="00C04A4C" w:rsidRDefault="008F46AE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لا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يمكن إعادة المنتج المؤهل إلى تاجر التجزئة/تاجر التجزئة </w:t>
      </w:r>
      <w:r w:rsidR="00EB7EC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 حيث اشترى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المنتج المؤهل. 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يجب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إعادة المنتج المؤهل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/المنتجات المؤهلة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إلى مراكز </w:t>
      </w:r>
      <w:r w:rsidR="000E62E3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الخدمة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المبينة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في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البند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ج.1 أدناه.</w:t>
      </w:r>
    </w:p>
    <w:p w14:paraId="75CE86F2" w14:textId="77777777" w:rsidR="00804D24" w:rsidRPr="00C04A4C" w:rsidRDefault="009C2FB6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- </w:t>
      </w:r>
      <w:r w:rsidR="00804D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استخدام المنتج المؤهل بالطريقة الموصى بها باستمرار لمدة لا تقل عن مئة (100) يوم.</w:t>
      </w:r>
    </w:p>
    <w:p w14:paraId="0F1BF7BD" w14:textId="77777777" w:rsidR="004B4E6C" w:rsidRPr="00C04A4C" w:rsidRDefault="004B4E6C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3EFBD105" w14:textId="77777777" w:rsidR="00804D24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lastRenderedPageBreak/>
        <w:t>إذا لم يكن الزبون راضيا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 تماماً عن المنتج المؤهل بعد استخدامه لمدة مئة يوم (100)، فيمكنه تقديم استمارة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التعويض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مطالبة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ضمان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25F1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9D2DB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المشار إليها ب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الاستمارة"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يتمتّع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شهر واحد لإعادة المنتج المؤهل إلى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مراكز الخدمة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5D8E91F8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4182B92D" w14:textId="77777777" w:rsidR="00804D24" w:rsidRDefault="002F2B29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الاحتفاظ بالمنتج المؤهل مع </w:t>
      </w:r>
      <w:r w:rsidR="006B778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إيصال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الشراء الأصلي للمنتج المؤهل.</w:t>
      </w:r>
    </w:p>
    <w:p w14:paraId="4F06C445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51A46B80" w14:textId="77777777" w:rsidR="002F2B29" w:rsidRDefault="00B20F2A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لم تقد</w:t>
      </w:r>
      <w:r w:rsidR="00693BA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 شكوى 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عدم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رضا ضد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رعاية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شخصية من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فيليبس من نفس فئة المنتج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تجميل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 في الاثني عشر (12) شهر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 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قبل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تقديم الاستمارة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BBCDE93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0AAC05FA" w14:textId="77777777" w:rsidR="00084152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</w:p>
    <w:p w14:paraId="046E1094" w14:textId="77777777" w:rsidR="000F5E5D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0F5E5D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ج) كيفية الاستفادة من العرض:</w:t>
      </w:r>
    </w:p>
    <w:p w14:paraId="0D7EBF8E" w14:textId="77777777" w:rsidR="000F5E5D" w:rsidRPr="00C04A4C" w:rsidRDefault="00BA1C58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1.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4254E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وا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مؤهلين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305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للاستفادة من العرض</w:t>
      </w:r>
      <w:r w:rsidR="00163E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اتخاذ الخطوات التالية:</w:t>
      </w:r>
    </w:p>
    <w:p w14:paraId="5287707E" w14:textId="07066C1F" w:rsidR="00CE6184" w:rsidRPr="00C04A4C" w:rsidRDefault="00C711C8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زيارة أحد مراكز </w:t>
      </w:r>
      <w:r w:rsidR="00F300F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المعارض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التالية</w:t>
      </w:r>
      <w:r w:rsidRPr="00C04A4C">
        <w:rPr>
          <w:rFonts w:ascii="Simplified Arabic" w:hAnsi="Simplified Arabic" w:cs="Simplified Arabic"/>
          <w:sz w:val="26"/>
          <w:szCs w:val="26"/>
          <w:lang w:bidi="ar-LB"/>
        </w:rPr>
        <w:t>:</w:t>
      </w:r>
    </w:p>
    <w:p w14:paraId="77DF6D2D" w14:textId="27AD9AFA" w:rsidR="00F300F5" w:rsidRPr="00DD6862" w:rsidRDefault="00F300F5" w:rsidP="00F300F5">
      <w:pPr>
        <w:pStyle w:val="ListParagraph"/>
        <w:numPr>
          <w:ilvl w:val="2"/>
          <w:numId w:val="5"/>
        </w:numPr>
        <w:bidi/>
        <w:spacing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السالمية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الجهراء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،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الفروانية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الري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الفحيحيل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القرين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الجليب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الأفينيوز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،</w:t>
      </w:r>
      <w:r w:rsidRPr="00DD6862">
        <w:rPr>
          <w:rFonts w:ascii="Simplified Arabic" w:hAnsi="Simplified Arabic" w:cs="Simplified Arabic" w:hint="eastAsia"/>
          <w:sz w:val="26"/>
          <w:szCs w:val="26"/>
          <w:lang w:bidi="ar-LB"/>
        </w:rPr>
        <w:t>‬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برج بيتك،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صحاري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الليوان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كيوب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حولي-برج فضالة،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المخيال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</w:t>
      </w:r>
      <w:r w:rsidRPr="00DD6862">
        <w:rPr>
          <w:rFonts w:ascii="MS Mincho" w:eastAsia="MS Mincho" w:hAnsi="MS Mincho" w:cs="MS Mincho" w:hint="eastAsia"/>
          <w:sz w:val="26"/>
          <w:szCs w:val="26"/>
          <w:rtl/>
          <w:lang w:bidi="ar-LB"/>
        </w:rPr>
        <w:t>‬</w:t>
      </w:r>
      <w:r w:rsidRPr="00DD6862">
        <w:rPr>
          <w:rFonts w:ascii="Simplified Arabic" w:hAnsi="Simplified Arabic" w:cs="Simplified Arabic"/>
          <w:sz w:val="26"/>
          <w:szCs w:val="26"/>
          <w:rtl/>
          <w:lang w:bidi="ar-LB"/>
        </w:rPr>
        <w:t>الفحيحي</w:t>
      </w:r>
      <w:r w:rsidRPr="00DD6862">
        <w:rPr>
          <w:rFonts w:ascii="Simplified Arabic" w:hAnsi="Simplified Arabic" w:cs="Simplified Arabic" w:hint="cs"/>
          <w:sz w:val="26"/>
          <w:szCs w:val="26"/>
          <w:rtl/>
          <w:lang w:bidi="ar-LB"/>
        </w:rPr>
        <w:t>ل الجديد</w:t>
      </w:r>
      <w:r>
        <w:rPr>
          <w:rFonts w:ascii="Simplified Arabic" w:hAnsi="Simplified Arabic" w:cs="Simplified Arabic" w:hint="cs"/>
          <w:color w:val="FF0000"/>
          <w:sz w:val="26"/>
          <w:szCs w:val="26"/>
          <w:rtl/>
          <w:lang w:bidi="ar-LB"/>
        </w:rPr>
        <w:t xml:space="preserve"> </w:t>
      </w:r>
      <w:r>
        <w:rPr>
          <w:rFonts w:ascii="Simplified Arabic" w:hAnsi="Simplified Arabic" w:cs="Simplified Arabic"/>
          <w:color w:val="FF0000"/>
          <w:sz w:val="26"/>
          <w:szCs w:val="26"/>
          <w:lang w:bidi="ar-LB"/>
        </w:rPr>
        <w:br/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للحصول </w:t>
      </w:r>
      <w:r w:rsidRPr="00F300F5">
        <w:rPr>
          <w:rFonts w:ascii="Simplified Arabic" w:hAnsi="Simplified Arabic" w:cs="Simplified Arabic"/>
          <w:sz w:val="26"/>
          <w:szCs w:val="26"/>
          <w:rtl/>
        </w:rPr>
        <w:t xml:space="preserve">على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عناوين </w:t>
      </w:r>
      <w:r w:rsidRPr="00F300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المعارض</w:t>
      </w:r>
      <w:r w:rsidRPr="00F300F5">
        <w:rPr>
          <w:rFonts w:ascii="Simplified Arabic" w:hAnsi="Simplified Arabic" w:cs="Simplified Arabic"/>
          <w:sz w:val="26"/>
          <w:szCs w:val="26"/>
          <w:rtl/>
        </w:rPr>
        <w:t xml:space="preserve"> وأوقات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العمل </w:t>
      </w:r>
      <w:r w:rsidRPr="00F300F5">
        <w:rPr>
          <w:rFonts w:ascii="Simplified Arabic" w:hAnsi="Simplified Arabic" w:cs="Simplified Arabic"/>
          <w:sz w:val="26"/>
          <w:szCs w:val="26"/>
          <w:rtl/>
        </w:rPr>
        <w:t xml:space="preserve"> محددة ، اتصل بمركز الاتصال:</w:t>
      </w:r>
      <w:r w:rsidRPr="00F300F5">
        <w:rPr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٣٥٣٥-١٨٠</w:t>
      </w:r>
      <w:r>
        <w:rPr>
          <w:rFonts w:ascii="Simplified Arabic" w:hAnsi="Simplified Arabic" w:cs="Simplified Arabic"/>
          <w:sz w:val="26"/>
          <w:szCs w:val="26"/>
          <w:rtl/>
        </w:rPr>
        <w:br/>
      </w:r>
      <w:r w:rsidRPr="00330EC9">
        <w:t>info@xcite.com - https://www.xcite.com/showrooms</w:t>
      </w:r>
      <w:r w:rsidRPr="00330EC9">
        <w:rPr>
          <w:rtl/>
        </w:rPr>
        <w:t>/</w:t>
      </w:r>
    </w:p>
    <w:p w14:paraId="26D3A3CC" w14:textId="77777777" w:rsidR="0000180F" w:rsidRPr="00C04A4C" w:rsidRDefault="00DD675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ملء واكمال الاستمارة في أيّ من المراكز المذكورة أعلاه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مدخلاً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التفاصيل المناسبة.</w:t>
      </w:r>
    </w:p>
    <w:p w14:paraId="203F7E89" w14:textId="1522BA6F" w:rsidR="0000180F" w:rsidRPr="00C04A4C" w:rsidRDefault="006B778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إعادة المنتج المؤهل،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المرفقات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مكيّف الطاقة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إضافةً إلى إيصال الشراء الأصلي للمنتج المؤهل إلى أي</w:t>
      </w:r>
      <w:r w:rsidR="00D730B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</w:t>
      </w:r>
      <w:r w:rsidR="00A95DF7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المحلات المحددة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3EE614CD" w14:textId="77777777" w:rsidR="00B21A49" w:rsidRPr="00C04A4C" w:rsidRDefault="00C0775F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لا يمكن إرسال المنتج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أو نقله إلى المركز.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 تسليم المنتج المؤهل شخصيًّا.</w:t>
      </w:r>
    </w:p>
    <w:p w14:paraId="1BB8DDCF" w14:textId="77777777" w:rsidR="00B21A49" w:rsidRPr="00C04A4C" w:rsidRDefault="00F53CF0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في حال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قبول الاستمارات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ستتمّ معالجة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المبالغ المستردة واصدارها من قبل أيّ من المركزين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واستعادة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للمبلغ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المبين في </w:t>
      </w:r>
      <w:r w:rsidR="00CB4BB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الإيصال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443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المؤهل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بما في ذلك جميع الضرائب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ذات الصلة، التي يتعيّن تقديمها. 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1E21FFCE" w14:textId="77777777" w:rsidR="00AA0145" w:rsidRPr="00C04A4C" w:rsidRDefault="00A42FD1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يجب أن يتأكد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صحة جميع التفاصيل الشخصية الواردة في الاستمارة. تعتبر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باطلة أي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استمارات غير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مكتملة أو غير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قابلة للفهم أو غير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واضحة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195F3EC1" w14:textId="77777777" w:rsidR="001F23A4" w:rsidRPr="00C04A4C" w:rsidRDefault="00AA0145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يسمح باستمارتان فقط (2) لكلّ أسرة.</w:t>
      </w:r>
    </w:p>
    <w:p w14:paraId="75F73F70" w14:textId="77777777" w:rsidR="006F5B84" w:rsidRPr="00C04A4C" w:rsidRDefault="006F5B8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294996E9" w14:textId="77777777" w:rsidR="001F23A4" w:rsidRPr="00C04A4C" w:rsidRDefault="001F23A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د) حقوق المروّج:</w:t>
      </w:r>
    </w:p>
    <w:p w14:paraId="072F3FCA" w14:textId="77777777" w:rsidR="00E2595B" w:rsidRPr="00C04A4C" w:rsidRDefault="00615DB2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lastRenderedPageBreak/>
        <w:t>يحتفظ المروّج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في أيّ وقت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الأوقات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بالحقّ في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التحقق من صحة أي مطالبات (بما في ذلك هوية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وسنّه ومكان إقامته)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كما يحتفظ بالحق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وفقاً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تقديره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الوحيد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في 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إستبعاد أيّ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يعتقد المروّج أنّه:</w:t>
      </w:r>
    </w:p>
    <w:p w14:paraId="3AAEE560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خالف أيّ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الأحكام 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الحاضرة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62A2682B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تلاعب بعملي</w:t>
      </w:r>
      <w:r w:rsidR="00DA2CA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 المطالبة.</w:t>
      </w:r>
    </w:p>
    <w:p w14:paraId="0B8320BA" w14:textId="77777777" w:rsidR="00E2595B" w:rsidRDefault="00D240BF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شارك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عملية سوء سلوك 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غير قانوني أو غيره من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التصرفات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غير اللائق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التي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تمسّ ب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سير 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العادل والسليم لل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عرض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408B30A6" w14:textId="77777777" w:rsidR="00C42C49" w:rsidRPr="00C04A4C" w:rsidRDefault="00C42C49" w:rsidP="00BD4F57">
      <w:pPr>
        <w:pStyle w:val="ListParagraph"/>
        <w:bidi/>
        <w:spacing w:line="240" w:lineRule="auto"/>
        <w:ind w:left="144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36D6292C" w14:textId="77777777" w:rsidR="000D7AB4" w:rsidRPr="00C04A4C" w:rsidRDefault="000D7AB4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يحتفظ المروّج بحقوقه القانونية في الحصول على تعويضات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المخالف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sectPr w:rsidR="000D7AB4" w:rsidRPr="00C0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9C3"/>
    <w:multiLevelType w:val="hybridMultilevel"/>
    <w:tmpl w:val="C05AF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E3609"/>
    <w:multiLevelType w:val="multilevel"/>
    <w:tmpl w:val="6C7C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2CDD6082"/>
    <w:multiLevelType w:val="multilevel"/>
    <w:tmpl w:val="43E05DA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1ED0009"/>
    <w:multiLevelType w:val="hybridMultilevel"/>
    <w:tmpl w:val="774AD20C"/>
    <w:lvl w:ilvl="0" w:tplc="2A7881D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42398"/>
    <w:multiLevelType w:val="hybridMultilevel"/>
    <w:tmpl w:val="8696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7191"/>
    <w:multiLevelType w:val="multilevel"/>
    <w:tmpl w:val="431878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AC84B79"/>
    <w:multiLevelType w:val="hybridMultilevel"/>
    <w:tmpl w:val="A976C33E"/>
    <w:lvl w:ilvl="0" w:tplc="5E1269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467CD"/>
    <w:multiLevelType w:val="hybridMultilevel"/>
    <w:tmpl w:val="B3266176"/>
    <w:lvl w:ilvl="0" w:tplc="E9C4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062C0"/>
    <w:multiLevelType w:val="hybridMultilevel"/>
    <w:tmpl w:val="6CE6457A"/>
    <w:lvl w:ilvl="0" w:tplc="B4E0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7"/>
    <w:rsid w:val="0000180F"/>
    <w:rsid w:val="00041442"/>
    <w:rsid w:val="000628AD"/>
    <w:rsid w:val="00084152"/>
    <w:rsid w:val="000D3000"/>
    <w:rsid w:val="000D7AB4"/>
    <w:rsid w:val="000E305C"/>
    <w:rsid w:val="000E62E3"/>
    <w:rsid w:val="000F5E5D"/>
    <w:rsid w:val="00112BA4"/>
    <w:rsid w:val="00163E24"/>
    <w:rsid w:val="00196AF3"/>
    <w:rsid w:val="001C22A9"/>
    <w:rsid w:val="001F22DC"/>
    <w:rsid w:val="001F23A4"/>
    <w:rsid w:val="002255A3"/>
    <w:rsid w:val="00242BBC"/>
    <w:rsid w:val="00275E09"/>
    <w:rsid w:val="002A6A91"/>
    <w:rsid w:val="002F2B29"/>
    <w:rsid w:val="00327EA2"/>
    <w:rsid w:val="003A6F01"/>
    <w:rsid w:val="003B07CA"/>
    <w:rsid w:val="003F1AF0"/>
    <w:rsid w:val="003F2F16"/>
    <w:rsid w:val="003F47F1"/>
    <w:rsid w:val="00413E82"/>
    <w:rsid w:val="004254E6"/>
    <w:rsid w:val="004332E0"/>
    <w:rsid w:val="00436182"/>
    <w:rsid w:val="00452C2E"/>
    <w:rsid w:val="004B4E6C"/>
    <w:rsid w:val="005260D5"/>
    <w:rsid w:val="0056376C"/>
    <w:rsid w:val="00571288"/>
    <w:rsid w:val="005A769D"/>
    <w:rsid w:val="005D42C3"/>
    <w:rsid w:val="00615DB2"/>
    <w:rsid w:val="00644F5D"/>
    <w:rsid w:val="0067393B"/>
    <w:rsid w:val="006858E9"/>
    <w:rsid w:val="00693BA0"/>
    <w:rsid w:val="006A76CC"/>
    <w:rsid w:val="006B147C"/>
    <w:rsid w:val="006B7783"/>
    <w:rsid w:val="006E6557"/>
    <w:rsid w:val="006F5B84"/>
    <w:rsid w:val="00784435"/>
    <w:rsid w:val="007855A5"/>
    <w:rsid w:val="007939C6"/>
    <w:rsid w:val="007C17DB"/>
    <w:rsid w:val="00804D24"/>
    <w:rsid w:val="00830E4D"/>
    <w:rsid w:val="008926AE"/>
    <w:rsid w:val="008B5697"/>
    <w:rsid w:val="008F46AE"/>
    <w:rsid w:val="00915F4F"/>
    <w:rsid w:val="00922EE8"/>
    <w:rsid w:val="0092389F"/>
    <w:rsid w:val="00925F19"/>
    <w:rsid w:val="009923C6"/>
    <w:rsid w:val="009A3782"/>
    <w:rsid w:val="009C2FB6"/>
    <w:rsid w:val="009C362A"/>
    <w:rsid w:val="009D2DB8"/>
    <w:rsid w:val="009D3E46"/>
    <w:rsid w:val="00A01E5B"/>
    <w:rsid w:val="00A11D4E"/>
    <w:rsid w:val="00A14D2A"/>
    <w:rsid w:val="00A33E5D"/>
    <w:rsid w:val="00A42FD1"/>
    <w:rsid w:val="00A95DF7"/>
    <w:rsid w:val="00A960D7"/>
    <w:rsid w:val="00AA0145"/>
    <w:rsid w:val="00AA1B73"/>
    <w:rsid w:val="00AA2FD3"/>
    <w:rsid w:val="00AB2CA0"/>
    <w:rsid w:val="00AC1D6E"/>
    <w:rsid w:val="00AC53A3"/>
    <w:rsid w:val="00B20F2A"/>
    <w:rsid w:val="00B21A49"/>
    <w:rsid w:val="00B64041"/>
    <w:rsid w:val="00B873F0"/>
    <w:rsid w:val="00B93280"/>
    <w:rsid w:val="00BA1C58"/>
    <w:rsid w:val="00BD4F57"/>
    <w:rsid w:val="00BE32D3"/>
    <w:rsid w:val="00BE4228"/>
    <w:rsid w:val="00BE5108"/>
    <w:rsid w:val="00C04A4C"/>
    <w:rsid w:val="00C0775F"/>
    <w:rsid w:val="00C20F25"/>
    <w:rsid w:val="00C42C49"/>
    <w:rsid w:val="00C60C1E"/>
    <w:rsid w:val="00C711C8"/>
    <w:rsid w:val="00C87C8D"/>
    <w:rsid w:val="00CB4BB9"/>
    <w:rsid w:val="00CE6184"/>
    <w:rsid w:val="00D06697"/>
    <w:rsid w:val="00D11400"/>
    <w:rsid w:val="00D240BF"/>
    <w:rsid w:val="00D730B4"/>
    <w:rsid w:val="00DA2CA6"/>
    <w:rsid w:val="00DB0EF2"/>
    <w:rsid w:val="00DD6753"/>
    <w:rsid w:val="00E10848"/>
    <w:rsid w:val="00E2595B"/>
    <w:rsid w:val="00E4469B"/>
    <w:rsid w:val="00E46EEF"/>
    <w:rsid w:val="00E617BE"/>
    <w:rsid w:val="00E767C2"/>
    <w:rsid w:val="00E910AF"/>
    <w:rsid w:val="00E9410B"/>
    <w:rsid w:val="00EA2B6D"/>
    <w:rsid w:val="00EB7EC2"/>
    <w:rsid w:val="00EE7383"/>
    <w:rsid w:val="00F165C2"/>
    <w:rsid w:val="00F16989"/>
    <w:rsid w:val="00F300F5"/>
    <w:rsid w:val="00F368A8"/>
    <w:rsid w:val="00F45DEB"/>
    <w:rsid w:val="00F52C4E"/>
    <w:rsid w:val="00F53CF0"/>
    <w:rsid w:val="00F87059"/>
    <w:rsid w:val="00F87D71"/>
    <w:rsid w:val="00FA1E62"/>
    <w:rsid w:val="00FB53F8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459"/>
  <w15:docId w15:val="{39FA8D0B-4A93-B24F-B2EC-77E1007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08"/>
    <w:pPr>
      <w:ind w:left="720"/>
      <w:contextualSpacing/>
    </w:pPr>
  </w:style>
  <w:style w:type="character" w:customStyle="1" w:styleId="med1">
    <w:name w:val="med1"/>
    <w:basedOn w:val="DefaultParagraphFont"/>
    <w:rsid w:val="0008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Rami Khater</cp:lastModifiedBy>
  <cp:revision>12</cp:revision>
  <dcterms:created xsi:type="dcterms:W3CDTF">2021-03-29T06:06:00Z</dcterms:created>
  <dcterms:modified xsi:type="dcterms:W3CDTF">2022-09-14T03:25:00Z</dcterms:modified>
</cp:coreProperties>
</file>