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CF0" w14:textId="67B3CE6C" w:rsidR="007939C6" w:rsidRPr="002255A3" w:rsidRDefault="000628AD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تحدي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المئة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يوم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من جهاز 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لوميا من فيليبس (عرض ضمان 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استعادة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الأموال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) </w:t>
      </w:r>
      <w:r w:rsidR="00304B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دولة قطر</w:t>
      </w:r>
    </w:p>
    <w:p w14:paraId="61001A98" w14:textId="77777777" w:rsidR="00F45DEB" w:rsidRPr="002255A3" w:rsidRDefault="00F45DEB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5C091707" w14:textId="77777777" w:rsidR="00A11D4E" w:rsidRPr="00C04A4C" w:rsidRDefault="009C362A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 والأحكام</w:t>
      </w:r>
    </w:p>
    <w:p w14:paraId="63C55144" w14:textId="129289BE" w:rsidR="009C362A" w:rsidRPr="00C04A4C" w:rsidRDefault="00304B83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>
        <w:rPr>
          <w:rFonts w:ascii="Simplified Arabic" w:hAnsi="Simplified Arabic" w:cs="Simplified Arabic"/>
          <w:sz w:val="26"/>
          <w:szCs w:val="26"/>
          <w:lang w:bidi="ar-LB"/>
        </w:rPr>
        <w:t>26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6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D348F4"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– </w:t>
      </w:r>
      <w:r>
        <w:rPr>
          <w:rFonts w:ascii="Simplified Arabic" w:hAnsi="Simplified Arabic" w:cs="Simplified Arabic"/>
          <w:sz w:val="26"/>
          <w:szCs w:val="26"/>
          <w:lang w:bidi="ar-LB"/>
        </w:rPr>
        <w:t>26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8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 w:rsidR="00D348F4">
        <w:rPr>
          <w:rFonts w:ascii="Simplified Arabic" w:hAnsi="Simplified Arabic" w:cs="Simplified Arabic"/>
          <w:sz w:val="26"/>
          <w:szCs w:val="26"/>
          <w:lang w:bidi="ar-LB"/>
        </w:rPr>
        <w:t>2022</w:t>
      </w:r>
    </w:p>
    <w:p w14:paraId="23CB82DC" w14:textId="77777777" w:rsidR="00AC1D6E" w:rsidRPr="00C04A4C" w:rsidRDefault="00AC1D6E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167EDA4" w14:textId="77777777" w:rsidR="00BE5108" w:rsidRPr="00C04A4C" w:rsidRDefault="00AC1D6E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وصف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  <w:t xml:space="preserve"> 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العرض:</w:t>
      </w:r>
    </w:p>
    <w:p w14:paraId="1B147D81" w14:textId="7B22A6DA" w:rsidR="00AC1D6E" w:rsidRPr="00C04A4C" w:rsidRDefault="00F45DEB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تتيح لكم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شركة </w:t>
      </w:r>
      <w:r w:rsidR="00304B83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المانع وشركاه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B100F5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ذ.م.م.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المشار إليها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بـ "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المروّج"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الفرصة للمطالبة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الكامل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استخدمت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جهاز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لوميا بي.ار.اي.</w:t>
      </w:r>
      <w:r w:rsidR="00BE32D3">
        <w:rPr>
          <w:rFonts w:ascii="Simplified Arabic" w:hAnsi="Simplified Arabic" w:cs="Simplified Arabic"/>
          <w:sz w:val="26"/>
          <w:szCs w:val="26"/>
          <w:lang w:bidi="ar-LB"/>
        </w:rPr>
        <w:t>/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863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921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923،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924،</w:t>
      </w:r>
      <w:proofErr w:type="spellStart"/>
      <w:r w:rsidR="00812F1A">
        <w:rPr>
          <w:rFonts w:ascii="Simplified Arabic" w:hAnsi="Simplified Arabic" w:cs="Simplified Arabic" w:hint="cs"/>
          <w:sz w:val="26"/>
          <w:szCs w:val="26"/>
          <w:rtl/>
        </w:rPr>
        <w:t>وبي.ار.اي</w:t>
      </w:r>
      <w:proofErr w:type="spellEnd"/>
      <w:r w:rsidR="00812F1A">
        <w:rPr>
          <w:rFonts w:ascii="Simplified Arabic" w:hAnsi="Simplified Arabic" w:cs="Simplified Arabic"/>
          <w:sz w:val="26"/>
          <w:szCs w:val="26"/>
        </w:rPr>
        <w:t>947/60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950،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955،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956،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957،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958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 فيليبس (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Philips </w:t>
      </w:r>
      <w:proofErr w:type="spellStart"/>
      <w:r w:rsidR="00AC1D6E" w:rsidRPr="00C04A4C">
        <w:rPr>
          <w:rFonts w:ascii="Simplified Arabic" w:hAnsi="Simplified Arabic" w:cs="Simplified Arabic"/>
          <w:sz w:val="26"/>
          <w:szCs w:val="26"/>
        </w:rPr>
        <w:t>Lumea</w:t>
      </w:r>
      <w:proofErr w:type="spellEnd"/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BRI863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BRI921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BRI923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BRI924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, </w:t>
      </w:r>
      <w:r w:rsidR="00812F1A">
        <w:rPr>
          <w:rFonts w:ascii="Simplified Arabic" w:hAnsi="Simplified Arabic" w:cs="Simplified Arabic"/>
          <w:sz w:val="26"/>
          <w:szCs w:val="26"/>
        </w:rPr>
        <w:t xml:space="preserve">BRI947/60, 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BRI950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BRI955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BRI956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BRI957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>, BRI958</w:t>
      </w:r>
      <w:r w:rsidR="003B07CA">
        <w:rPr>
          <w:rFonts w:ascii="Simplified Arabic" w:hAnsi="Simplified Arabic" w:cs="Simplified Arabic"/>
          <w:sz w:val="26"/>
          <w:szCs w:val="26"/>
        </w:rPr>
        <w:t>/60</w:t>
      </w:r>
      <w:r w:rsidR="00AC1D6E" w:rsidRPr="00C04A4C">
        <w:rPr>
          <w:rFonts w:ascii="Simplified Arabic" w:hAnsi="Simplified Arabic" w:cs="Simplified Arabic"/>
          <w:sz w:val="26"/>
          <w:szCs w:val="26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</w:rPr>
        <w:t xml:space="preserve">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(المشار إليه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المنتج المؤهل"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3F1A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لمدة م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ئة (100) يوم على الأقل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(على النحو الموصى به)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ولم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تكونوا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راضين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تمام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 عن أ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داء هذا المنتج المؤهل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</w:p>
    <w:p w14:paraId="7C1F77EE" w14:textId="77777777" w:rsidR="007855A5" w:rsidRPr="00C04A4C" w:rsidRDefault="00452C2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(يشار إليه بـ "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العرض"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5E48DCE5" w14:textId="2318FBB9" w:rsidR="008926AE" w:rsidRPr="00C04A4C" w:rsidRDefault="009C2FB6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يسري هذا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العرض 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304B83">
        <w:rPr>
          <w:rFonts w:ascii="Simplified Arabic" w:hAnsi="Simplified Arabic" w:cs="Simplified Arabic"/>
          <w:sz w:val="26"/>
          <w:szCs w:val="26"/>
          <w:lang w:bidi="ar-LB"/>
        </w:rPr>
        <w:t>26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304B83">
        <w:rPr>
          <w:rFonts w:ascii="Simplified Arabic" w:hAnsi="Simplified Arabic" w:cs="Simplified Arabic" w:hint="cs"/>
          <w:sz w:val="26"/>
          <w:szCs w:val="26"/>
          <w:rtl/>
          <w:lang w:bidi="ar-LB"/>
        </w:rPr>
        <w:t>يونيو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D348F4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إلى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304B83">
        <w:rPr>
          <w:rFonts w:ascii="Simplified Arabic" w:hAnsi="Simplified Arabic" w:cs="Simplified Arabic" w:hint="cs"/>
          <w:sz w:val="26"/>
          <w:szCs w:val="26"/>
          <w:rtl/>
        </w:rPr>
        <w:t>٢٦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304B83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أغسطس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D348F4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(ي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 إليها ب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فترة الشراء"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C4F2BB6" w14:textId="77777777" w:rsidR="00BE4228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744CBBE2" w14:textId="77777777" w:rsidR="00E46EEF" w:rsidRPr="00C04A4C" w:rsidRDefault="00BE4228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الأحكام والشروط</w:t>
      </w:r>
      <w:r w:rsidR="00041442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:</w:t>
      </w:r>
    </w:p>
    <w:p w14:paraId="3ED0B3FA" w14:textId="77777777" w:rsidR="00D11400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لتكونوا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مؤهلين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للمطالبة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الكامل للمنتج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عليكم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</w:t>
      </w:r>
    </w:p>
    <w:p w14:paraId="679566CB" w14:textId="77777777" w:rsidR="00BE4228" w:rsidRPr="00C04A4C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شراء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مؤهل خلال فترة الشراء من أيّ</w:t>
      </w:r>
      <w:r w:rsidR="00BE4228"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تاجر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تجزئ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ة مشارك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تابع لل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مروّج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المتجر أو عبر الإنترنت.</w:t>
      </w:r>
    </w:p>
    <w:p w14:paraId="699565F1" w14:textId="192E7E9D" w:rsidR="00E617BE" w:rsidRDefault="00E617B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تشكل الأسماء التالية أسماء تجار التجزئة/ </w:t>
      </w:r>
      <w:r w:rsidR="00413E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تجار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التجزئة </w:t>
      </w:r>
      <w:r w:rsidR="003F47F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المشاركين:</w:t>
      </w:r>
    </w:p>
    <w:p w14:paraId="27BC0F6C" w14:textId="77777777" w:rsidR="00BE32D3" w:rsidRPr="00C04A4C" w:rsidRDefault="00BE32D3" w:rsidP="00BE32D3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4F1642DC" w14:textId="5CED7AFB" w:rsidR="00413E82" w:rsidRDefault="00304B83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لولو، الميرة، مون</w:t>
      </w:r>
      <w:r w:rsidR="00B100F5"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وبري</w:t>
      </w:r>
    </w:p>
    <w:p w14:paraId="1D93E5F3" w14:textId="336F33CE" w:rsidR="00B100F5" w:rsidRPr="00E41480" w:rsidRDefault="00B100F5" w:rsidP="00B100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 w:rsidRPr="00E41480"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صالات عرض المانع وشركاه</w:t>
      </w:r>
      <w:r w:rsidRPr="00E41480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 xml:space="preserve"> </w:t>
      </w:r>
      <w:r w:rsidRPr="00E41480"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ذ.م.م.</w:t>
      </w:r>
    </w:p>
    <w:p w14:paraId="4C232A52" w14:textId="2B08825A" w:rsidR="00B100F5" w:rsidRDefault="00B100F5" w:rsidP="00B100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صالة عرض الريان</w:t>
      </w:r>
    </w:p>
    <w:p w14:paraId="007D7112" w14:textId="045D2B31" w:rsidR="00B100F5" w:rsidRPr="00E41480" w:rsidRDefault="00B100F5" w:rsidP="00B100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sz w:val="26"/>
          <w:szCs w:val="26"/>
          <w:rtl/>
          <w:lang w:bidi="ar-LB"/>
        </w:rPr>
      </w:pPr>
      <w:r w:rsidRPr="00E41480">
        <w:rPr>
          <w:rFonts w:ascii="Simplified Arabic" w:hAnsi="Simplified Arabic" w:cs="Simplified Arabic" w:hint="cs"/>
          <w:b/>
          <w:sz w:val="26"/>
          <w:szCs w:val="26"/>
          <w:rtl/>
          <w:lang w:bidi="ar-LB"/>
        </w:rPr>
        <w:t>ص.ب. ٤٩، مجمع الريان، البرج ب، شارع ١٥٠، المنطقة ٣٠، مبنى رقم ٦٧، الدوحة، قطر</w:t>
      </w:r>
    </w:p>
    <w:p w14:paraId="054EA3D6" w14:textId="7DD53D31" w:rsidR="00B100F5" w:rsidRDefault="00B100F5" w:rsidP="00B100F5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 xml:space="preserve">صالة عرض </w:t>
      </w:r>
      <w:r w:rsidR="00E41480"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طريق سلوى</w:t>
      </w:r>
    </w:p>
    <w:p w14:paraId="78998738" w14:textId="65829A1A" w:rsidR="00E41480" w:rsidRPr="00E41480" w:rsidRDefault="00E41480" w:rsidP="00E4148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sz w:val="26"/>
          <w:szCs w:val="26"/>
          <w:rtl/>
          <w:lang w:bidi="ar-LB"/>
        </w:rPr>
      </w:pPr>
      <w:r w:rsidRPr="00E41480">
        <w:rPr>
          <w:rFonts w:ascii="Simplified Arabic" w:hAnsi="Simplified Arabic" w:cs="Simplified Arabic" w:hint="cs"/>
          <w:b/>
          <w:sz w:val="26"/>
          <w:szCs w:val="26"/>
          <w:rtl/>
          <w:lang w:bidi="ar-LB"/>
        </w:rPr>
        <w:t>ص.ب. ٤٩، شارع ٣٤٠، المنطقة ٤٣، مبنى رقم ١٨٥، طريق سلوى، الدوحة قطر</w:t>
      </w:r>
    </w:p>
    <w:p w14:paraId="5E5ED1A7" w14:textId="6B3542B1" w:rsidR="00E41480" w:rsidRDefault="00E41480" w:rsidP="00E4148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t>صالة عرض مدماك</w:t>
      </w:r>
    </w:p>
    <w:p w14:paraId="754C7317" w14:textId="28949D48" w:rsidR="00E41480" w:rsidRPr="00E41480" w:rsidRDefault="00E41480" w:rsidP="00E4148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sz w:val="26"/>
          <w:szCs w:val="26"/>
          <w:rtl/>
          <w:lang w:bidi="ar-LB"/>
        </w:rPr>
      </w:pPr>
      <w:r w:rsidRPr="00E41480">
        <w:rPr>
          <w:rFonts w:ascii="Simplified Arabic" w:hAnsi="Simplified Arabic" w:cs="Simplified Arabic" w:hint="cs"/>
          <w:b/>
          <w:sz w:val="26"/>
          <w:szCs w:val="26"/>
          <w:rtl/>
          <w:lang w:bidi="ar-LB"/>
        </w:rPr>
        <w:t>ص.ب. ٤٩، شارع ٣٤٠، المنطقة ٤٣، مبنى ١٥٥، الدوحة، قطر</w:t>
      </w:r>
    </w:p>
    <w:p w14:paraId="68628AAD" w14:textId="1971A6B7" w:rsidR="00E41480" w:rsidRDefault="00E41480" w:rsidP="00E4148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Cs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bCs/>
          <w:sz w:val="26"/>
          <w:szCs w:val="26"/>
          <w:rtl/>
          <w:lang w:bidi="ar-LB"/>
        </w:rPr>
        <w:lastRenderedPageBreak/>
        <w:t>صالة عرض سوق واقف</w:t>
      </w:r>
    </w:p>
    <w:p w14:paraId="38157513" w14:textId="2340E3CC" w:rsidR="00E41480" w:rsidRPr="00E41480" w:rsidRDefault="00E41480" w:rsidP="00E41480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b/>
          <w:sz w:val="26"/>
          <w:szCs w:val="26"/>
          <w:rtl/>
          <w:lang w:bidi="ar-LB"/>
        </w:rPr>
      </w:pPr>
      <w:r w:rsidRPr="00E41480">
        <w:rPr>
          <w:rFonts w:ascii="Simplified Arabic" w:hAnsi="Simplified Arabic" w:cs="Simplified Arabic" w:hint="cs"/>
          <w:b/>
          <w:sz w:val="26"/>
          <w:szCs w:val="26"/>
          <w:rtl/>
          <w:lang w:bidi="ar-LB"/>
        </w:rPr>
        <w:t>ص.ب. ٤٩، شارع ١١٩، المنطقة ١، مبنى ٢٠، سوق واقف، الدوحة، قطر</w:t>
      </w:r>
    </w:p>
    <w:p w14:paraId="240FCF36" w14:textId="77777777" w:rsidR="00C42C49" w:rsidRPr="00C42C49" w:rsidRDefault="00C42C49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D8D0391" w14:textId="4B661788" w:rsidR="008F46AE" w:rsidRPr="00C04A4C" w:rsidRDefault="008F46AE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لا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يمكن إعادة المنتج المؤهل إلى تاجر التجزئة/تاجر التجزئة </w:t>
      </w:r>
      <w:r w:rsidR="00EB7EC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 حيث اشترى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المنتج المؤهل. 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يجب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إعادة المنتج المؤهل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/المنتجات المؤهلة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إلى </w:t>
      </w:r>
      <w:r w:rsidR="004511A5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مركز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</w:t>
      </w:r>
      <w:r w:rsidR="000E62E3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الخدمة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المبينة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في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البند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ج.1 أدناه.</w:t>
      </w:r>
    </w:p>
    <w:p w14:paraId="75CE86F2" w14:textId="77777777" w:rsidR="00804D24" w:rsidRPr="00C04A4C" w:rsidRDefault="009C2FB6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- </w:t>
      </w:r>
      <w:r w:rsidR="00804D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استخدام المنتج المؤهل بالطريقة الموصى بها باستمرار لمدة لا تقل عن مئة (100) يوم.</w:t>
      </w:r>
    </w:p>
    <w:p w14:paraId="0F1BF7BD" w14:textId="77777777" w:rsidR="004B4E6C" w:rsidRPr="00C04A4C" w:rsidRDefault="004B4E6C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3EFBD105" w14:textId="73340896" w:rsidR="00804D24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لم يكن الزبون راضيا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 تماماً عن المنتج المؤهل بعد استخدامه لمدة مئة يوم (100)، فيمكنه تقديم استمارة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التعويض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مطالبة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ضمان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25F1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9D2DB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المشار إليها ب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الاستمارة"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يتمتّع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شهر واحد لإعادة المنتج المؤهل إلى </w:t>
      </w:r>
      <w:r w:rsidR="004511A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الخدمة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5D8E91F8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4182B92D" w14:textId="77777777" w:rsidR="00804D24" w:rsidRDefault="002F2B29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الاحتفاظ بالمنتج المؤهل مع </w:t>
      </w:r>
      <w:r w:rsidR="006B778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إيصال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الشراء الأصلي للمنتج المؤهل.</w:t>
      </w:r>
    </w:p>
    <w:p w14:paraId="4F06C445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51A46B80" w14:textId="77777777" w:rsidR="002F2B29" w:rsidRDefault="00B20F2A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لم تقد</w:t>
      </w:r>
      <w:r w:rsidR="00693B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 شكوى 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عدم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رضا ضد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رعاية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شخصية من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فيليبس من نفس فئة المنتج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تجميل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 في الاثني عشر (12) شهر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 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قبل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تقديم الاستمارة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BBCDE93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07B3756A" w14:textId="77777777" w:rsidR="00084152" w:rsidRPr="00C04A4C" w:rsidRDefault="00084152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Style w:val="med1"/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ألا تكون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موظف لدى المروّج (ولدى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عائلته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) أو تاجر تجزئة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مشارك 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أو وكالة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مشاركة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. وتتضمن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العائلة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مما يلي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 الزوج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/الزوجة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الولد، الوالد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/الوالدة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الجد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/الجدة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ابن/ابنة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الأخ، ابن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الأخ، الأخت</w:t>
      </w:r>
      <w:r w:rsidR="00AB2C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</w:t>
      </w:r>
      <w:r w:rsidRPr="00C04A4C">
        <w:rPr>
          <w:rStyle w:val="med1"/>
          <w:rFonts w:ascii="Simplified Arabic" w:hAnsi="Simplified Arabic" w:cs="Simplified Arabic"/>
          <w:sz w:val="26"/>
          <w:szCs w:val="26"/>
          <w:rtl/>
        </w:rPr>
        <w:t>أبناء العم / الخال من الدرجة الأولى.</w:t>
      </w:r>
    </w:p>
    <w:p w14:paraId="0AAC05FA" w14:textId="77777777" w:rsidR="00084152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</w:p>
    <w:p w14:paraId="046E1094" w14:textId="77777777" w:rsidR="000F5E5D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0F5E5D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ج) كيفية الاستفادة من العرض:</w:t>
      </w:r>
    </w:p>
    <w:p w14:paraId="0D7EBF8E" w14:textId="77777777" w:rsidR="000F5E5D" w:rsidRPr="00C04A4C" w:rsidRDefault="00BA1C5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1.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4254E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وا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مؤهلين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305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للاستفادة من العرض</w:t>
      </w:r>
      <w:r w:rsidR="00163E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اتخاذ الخطوات التالية:</w:t>
      </w:r>
    </w:p>
    <w:p w14:paraId="5287707E" w14:textId="511D7712" w:rsidR="00CE6184" w:rsidRPr="00C04A4C" w:rsidRDefault="00C711C8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زيارة </w:t>
      </w:r>
      <w:r w:rsidR="004511A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الخدمات </w:t>
      </w:r>
      <w:r w:rsidR="004511A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التالي</w:t>
      </w:r>
      <w:r w:rsidRPr="00C04A4C">
        <w:rPr>
          <w:rFonts w:ascii="Simplified Arabic" w:hAnsi="Simplified Arabic" w:cs="Simplified Arabic"/>
          <w:sz w:val="26"/>
          <w:szCs w:val="26"/>
          <w:lang w:bidi="ar-LB"/>
        </w:rPr>
        <w:t>:</w:t>
      </w:r>
    </w:p>
    <w:p w14:paraId="30F37DAC" w14:textId="62C4DBE4" w:rsidR="0000180F" w:rsidRPr="00C04A4C" w:rsidRDefault="00E41480" w:rsidP="00BD4F57">
      <w:pPr>
        <w:pStyle w:val="ListParagraph"/>
        <w:numPr>
          <w:ilvl w:val="2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 خدمة شركة المانع وشركاه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ذ.م.م.، شارع رقم ٤٥، مبنى ٧٥، المنطقة ٥٧، المنطقة الصناعية، الدوحة، قطر</w:t>
      </w:r>
    </w:p>
    <w:p w14:paraId="26D3A3CC" w14:textId="68F4AFCD" w:rsidR="0000180F" w:rsidRPr="00C04A4C" w:rsidRDefault="00DD675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ملء واكمال الاستمارة في </w:t>
      </w:r>
      <w:r w:rsidR="00E41480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المركز المذكور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أعلاه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مدخلاً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التفاصيل المناسبة.</w:t>
      </w:r>
    </w:p>
    <w:p w14:paraId="203F7E89" w14:textId="65AA0D80" w:rsidR="0000180F" w:rsidRPr="00C04A4C" w:rsidRDefault="006B778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إعادة المنتج المؤهل،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المرفقات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مكيّف الطاقة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إضافةً إلى إيصال الشراء الأصلي للمنتج المؤهل إلى </w:t>
      </w:r>
      <w:r w:rsidR="00E41480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المركز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3EE614CD" w14:textId="77777777" w:rsidR="00B21A49" w:rsidRPr="00C04A4C" w:rsidRDefault="00C0775F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لا يمكن إرسال المنتج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أو نقله إلى المركز.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 تسليم المنتج المؤهل شخصيًّا.</w:t>
      </w:r>
    </w:p>
    <w:p w14:paraId="1BB8DDCF" w14:textId="409C4E91" w:rsidR="00B21A49" w:rsidRPr="00C04A4C" w:rsidRDefault="00F53CF0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lastRenderedPageBreak/>
        <w:t>في حال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قبول الاستمارات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ستتمّ معالجة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المبالغ المستردة واصدارها من قبل </w:t>
      </w:r>
      <w:r w:rsidR="00E41480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المركز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واستعادة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للمبلغ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المبين في </w:t>
      </w:r>
      <w:r w:rsidR="00CB4BB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الإيصال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443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المؤهل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بما في ذلك جميع الضرائب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ذات الصلة، التي يتعيّن تقديمها. 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1E21FFCE" w14:textId="77777777" w:rsidR="00AA0145" w:rsidRPr="00C04A4C" w:rsidRDefault="00A42FD1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يجب أن يتأكد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صحة جميع التفاصيل الشخصية الواردة في الاستمارة. تعتبر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باطلة أي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استمارات غير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مكتملة أو غير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قابلة للفهم أو غير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واضحة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195F3EC1" w14:textId="77777777" w:rsidR="001F23A4" w:rsidRPr="00C04A4C" w:rsidRDefault="00AA0145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يسمح باستمارتان فقط (2) لكلّ أسرة.</w:t>
      </w:r>
    </w:p>
    <w:p w14:paraId="75F73F70" w14:textId="77777777" w:rsidR="006F5B84" w:rsidRPr="00C04A4C" w:rsidRDefault="006F5B8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294996E9" w14:textId="77777777" w:rsidR="001F23A4" w:rsidRPr="00C04A4C" w:rsidRDefault="001F23A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د) حقوق المروّج:</w:t>
      </w:r>
    </w:p>
    <w:p w14:paraId="072F3FCA" w14:textId="77777777" w:rsidR="00E2595B" w:rsidRPr="00C04A4C" w:rsidRDefault="00615DB2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يحتفظ المروّج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في أيّ وقت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الأوقات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بالحقّ في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التحقق من صحة أي مطالبات (بما في ذلك هوية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وسنّه ومكان إقامته)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كما يحتفظ بالحق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وفقاً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تقديره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الوحيد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في 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إستبعاد أيّ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يعتقد المروّج أنّه:</w:t>
      </w:r>
    </w:p>
    <w:p w14:paraId="3AAEE560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خالف أيّ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الأحكام 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الحاضرة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62A2682B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تلاعب بعملي</w:t>
      </w:r>
      <w:r w:rsidR="00DA2CA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 المطالبة.</w:t>
      </w:r>
    </w:p>
    <w:p w14:paraId="0B8320BA" w14:textId="77777777" w:rsidR="00E2595B" w:rsidRDefault="00D240BF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شارك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عملية سوء سلوك 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غير قانوني أو غيره 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التصرفات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غير اللائق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التي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تمسّ ب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سير 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العادل والسليم لل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عرض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08B30A6" w14:textId="77777777" w:rsidR="00C42C49" w:rsidRPr="00C04A4C" w:rsidRDefault="00C42C49" w:rsidP="00BD4F57">
      <w:pPr>
        <w:pStyle w:val="ListParagraph"/>
        <w:bidi/>
        <w:spacing w:line="240" w:lineRule="auto"/>
        <w:ind w:left="144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6D6292C" w14:textId="77777777" w:rsidR="000D7AB4" w:rsidRPr="00C04A4C" w:rsidRDefault="000D7AB4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يحتفظ المروّج بحقوقه القانونية في الحصول على تعويضات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المخالف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sectPr w:rsidR="000D7AB4" w:rsidRPr="00C0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9C3"/>
    <w:multiLevelType w:val="hybridMultilevel"/>
    <w:tmpl w:val="C05AF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D6082"/>
    <w:multiLevelType w:val="multilevel"/>
    <w:tmpl w:val="43E05DA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1ED0009"/>
    <w:multiLevelType w:val="hybridMultilevel"/>
    <w:tmpl w:val="774AD20C"/>
    <w:lvl w:ilvl="0" w:tplc="2A7881D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42398"/>
    <w:multiLevelType w:val="hybridMultilevel"/>
    <w:tmpl w:val="8696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7191"/>
    <w:multiLevelType w:val="multilevel"/>
    <w:tmpl w:val="431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C84B79"/>
    <w:multiLevelType w:val="hybridMultilevel"/>
    <w:tmpl w:val="A976C33E"/>
    <w:lvl w:ilvl="0" w:tplc="5E12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467CD"/>
    <w:multiLevelType w:val="hybridMultilevel"/>
    <w:tmpl w:val="B3266176"/>
    <w:lvl w:ilvl="0" w:tplc="E9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062C0"/>
    <w:multiLevelType w:val="hybridMultilevel"/>
    <w:tmpl w:val="6CE6457A"/>
    <w:lvl w:ilvl="0" w:tplc="B4E0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7"/>
    <w:rsid w:val="0000180F"/>
    <w:rsid w:val="00041442"/>
    <w:rsid w:val="000628AD"/>
    <w:rsid w:val="00084152"/>
    <w:rsid w:val="000D3000"/>
    <w:rsid w:val="000D7AB4"/>
    <w:rsid w:val="000E305C"/>
    <w:rsid w:val="000E62E3"/>
    <w:rsid w:val="000F5E5D"/>
    <w:rsid w:val="00112BA4"/>
    <w:rsid w:val="00163E24"/>
    <w:rsid w:val="00196AF3"/>
    <w:rsid w:val="001C22A9"/>
    <w:rsid w:val="001F22DC"/>
    <w:rsid w:val="001F23A4"/>
    <w:rsid w:val="002255A3"/>
    <w:rsid w:val="00242BBC"/>
    <w:rsid w:val="00275E09"/>
    <w:rsid w:val="002A6A91"/>
    <w:rsid w:val="002F2B29"/>
    <w:rsid w:val="00304B83"/>
    <w:rsid w:val="00327EA2"/>
    <w:rsid w:val="003A6F01"/>
    <w:rsid w:val="003B07CA"/>
    <w:rsid w:val="003F1AF0"/>
    <w:rsid w:val="003F2F16"/>
    <w:rsid w:val="003F47F1"/>
    <w:rsid w:val="00413E82"/>
    <w:rsid w:val="004254E6"/>
    <w:rsid w:val="004332E0"/>
    <w:rsid w:val="00436182"/>
    <w:rsid w:val="004511A5"/>
    <w:rsid w:val="00452C2E"/>
    <w:rsid w:val="004B4E6C"/>
    <w:rsid w:val="005260D5"/>
    <w:rsid w:val="0056376C"/>
    <w:rsid w:val="00571288"/>
    <w:rsid w:val="0058259C"/>
    <w:rsid w:val="005A769D"/>
    <w:rsid w:val="005D42C3"/>
    <w:rsid w:val="00615DB2"/>
    <w:rsid w:val="0067393B"/>
    <w:rsid w:val="006858E9"/>
    <w:rsid w:val="00693BA0"/>
    <w:rsid w:val="006A76CC"/>
    <w:rsid w:val="006B147C"/>
    <w:rsid w:val="006B7783"/>
    <w:rsid w:val="006E6557"/>
    <w:rsid w:val="006F5B84"/>
    <w:rsid w:val="00784435"/>
    <w:rsid w:val="007855A5"/>
    <w:rsid w:val="007939C6"/>
    <w:rsid w:val="00804D24"/>
    <w:rsid w:val="00812F1A"/>
    <w:rsid w:val="00830E4D"/>
    <w:rsid w:val="008926AE"/>
    <w:rsid w:val="008B5697"/>
    <w:rsid w:val="008F46AE"/>
    <w:rsid w:val="00915F4F"/>
    <w:rsid w:val="00922EE8"/>
    <w:rsid w:val="0092389F"/>
    <w:rsid w:val="00925F19"/>
    <w:rsid w:val="009923C6"/>
    <w:rsid w:val="009C2FB6"/>
    <w:rsid w:val="009C362A"/>
    <w:rsid w:val="009D2DB8"/>
    <w:rsid w:val="00A11D4E"/>
    <w:rsid w:val="00A14D2A"/>
    <w:rsid w:val="00A42FD1"/>
    <w:rsid w:val="00A960D7"/>
    <w:rsid w:val="00AA0145"/>
    <w:rsid w:val="00AA1B73"/>
    <w:rsid w:val="00AA2FD3"/>
    <w:rsid w:val="00AB2CA0"/>
    <w:rsid w:val="00AC07FC"/>
    <w:rsid w:val="00AC1D6E"/>
    <w:rsid w:val="00AC53A3"/>
    <w:rsid w:val="00B100F5"/>
    <w:rsid w:val="00B20F2A"/>
    <w:rsid w:val="00B21A49"/>
    <w:rsid w:val="00B64041"/>
    <w:rsid w:val="00B873F0"/>
    <w:rsid w:val="00B93280"/>
    <w:rsid w:val="00BA1C58"/>
    <w:rsid w:val="00BD4F57"/>
    <w:rsid w:val="00BD5ABF"/>
    <w:rsid w:val="00BE32D3"/>
    <w:rsid w:val="00BE4228"/>
    <w:rsid w:val="00BE5108"/>
    <w:rsid w:val="00C00331"/>
    <w:rsid w:val="00C04A4C"/>
    <w:rsid w:val="00C0775F"/>
    <w:rsid w:val="00C20F25"/>
    <w:rsid w:val="00C42C49"/>
    <w:rsid w:val="00C60C1E"/>
    <w:rsid w:val="00C711C8"/>
    <w:rsid w:val="00C87C8D"/>
    <w:rsid w:val="00CB4BB9"/>
    <w:rsid w:val="00CE6184"/>
    <w:rsid w:val="00D06697"/>
    <w:rsid w:val="00D11400"/>
    <w:rsid w:val="00D240BF"/>
    <w:rsid w:val="00D348F4"/>
    <w:rsid w:val="00D730B4"/>
    <w:rsid w:val="00DA2CA6"/>
    <w:rsid w:val="00DD6753"/>
    <w:rsid w:val="00E10848"/>
    <w:rsid w:val="00E2595B"/>
    <w:rsid w:val="00E41480"/>
    <w:rsid w:val="00E4469B"/>
    <w:rsid w:val="00E46EEF"/>
    <w:rsid w:val="00E617BE"/>
    <w:rsid w:val="00E767C2"/>
    <w:rsid w:val="00E910AF"/>
    <w:rsid w:val="00E9410B"/>
    <w:rsid w:val="00EA2B6D"/>
    <w:rsid w:val="00EB7EC2"/>
    <w:rsid w:val="00ED74EC"/>
    <w:rsid w:val="00F165C2"/>
    <w:rsid w:val="00F16989"/>
    <w:rsid w:val="00F24D64"/>
    <w:rsid w:val="00F368A8"/>
    <w:rsid w:val="00F45DEB"/>
    <w:rsid w:val="00F52C4E"/>
    <w:rsid w:val="00F53CF0"/>
    <w:rsid w:val="00F87059"/>
    <w:rsid w:val="00FA1E62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459"/>
  <w15:docId w15:val="{39FA8D0B-4A93-B24F-B2EC-77E1007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8"/>
    <w:pPr>
      <w:ind w:left="720"/>
      <w:contextualSpacing/>
    </w:pPr>
  </w:style>
  <w:style w:type="character" w:customStyle="1" w:styleId="med1">
    <w:name w:val="med1"/>
    <w:basedOn w:val="DefaultParagraphFont"/>
    <w:rsid w:val="0008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Rami Khater</cp:lastModifiedBy>
  <cp:revision>4</cp:revision>
  <dcterms:created xsi:type="dcterms:W3CDTF">2022-06-15T07:43:00Z</dcterms:created>
  <dcterms:modified xsi:type="dcterms:W3CDTF">2022-06-27T08:20:00Z</dcterms:modified>
</cp:coreProperties>
</file>