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5DB4" w14:textId="77777777" w:rsidR="000D023F" w:rsidRPr="000D023F" w:rsidRDefault="000D023F" w:rsidP="000D023F">
      <w:pPr>
        <w:rPr>
          <w:b/>
          <w:bCs/>
          <w:lang w:val="nl-NL"/>
        </w:rPr>
      </w:pPr>
      <w:r w:rsidRPr="000D023F">
        <w:rPr>
          <w:b/>
          <w:bCs/>
          <w:lang w:val="nl-NL"/>
        </w:rPr>
        <w:t xml:space="preserve">Algemene voorwaarden - Philips </w:t>
      </w:r>
      <w:proofErr w:type="spellStart"/>
      <w:r w:rsidRPr="000D023F">
        <w:rPr>
          <w:b/>
          <w:bCs/>
          <w:lang w:val="nl-NL"/>
        </w:rPr>
        <w:t>Refurbished</w:t>
      </w:r>
      <w:proofErr w:type="spellEnd"/>
      <w:r w:rsidRPr="000D023F">
        <w:rPr>
          <w:b/>
          <w:bCs/>
          <w:lang w:val="nl-NL"/>
        </w:rPr>
        <w:t xml:space="preserve"> Producten Levenslange Garantie Promotie</w:t>
      </w:r>
    </w:p>
    <w:p w14:paraId="7B9BC570" w14:textId="77777777" w:rsidR="000D023F" w:rsidRPr="000D023F" w:rsidRDefault="000D023F" w:rsidP="000D023F">
      <w:pPr>
        <w:rPr>
          <w:lang w:val="nl-NL"/>
        </w:rPr>
      </w:pPr>
    </w:p>
    <w:p w14:paraId="21F24E0E" w14:textId="77777777" w:rsidR="000D023F" w:rsidRPr="000D023F" w:rsidRDefault="000D023F" w:rsidP="000D023F">
      <w:pPr>
        <w:numPr>
          <w:ilvl w:val="0"/>
          <w:numId w:val="21"/>
        </w:numPr>
        <w:rPr>
          <w:lang w:val="nl-NL"/>
        </w:rPr>
      </w:pPr>
      <w:r w:rsidRPr="000D023F">
        <w:rPr>
          <w:b/>
          <w:bCs/>
          <w:lang w:val="nl-NL"/>
        </w:rPr>
        <w:t>In aanmerking komende producten</w:t>
      </w:r>
      <w:r w:rsidRPr="000D023F">
        <w:rPr>
          <w:lang w:val="nl-NL"/>
        </w:rPr>
        <w:t xml:space="preserve"> Deze promotie aanbieding is uitsluitend van toepassing op Philips </w:t>
      </w:r>
      <w:proofErr w:type="spellStart"/>
      <w:r w:rsidRPr="000D023F">
        <w:rPr>
          <w:lang w:val="nl-NL"/>
        </w:rPr>
        <w:t>refurbished</w:t>
      </w:r>
      <w:proofErr w:type="spellEnd"/>
      <w:r w:rsidRPr="000D023F">
        <w:rPr>
          <w:lang w:val="nl-NL"/>
        </w:rPr>
        <w:t xml:space="preserve"> producten binnen de volgende productcategorieën:</w:t>
      </w:r>
    </w:p>
    <w:p w14:paraId="67A92602" w14:textId="77777777" w:rsidR="000D023F" w:rsidRPr="00ED2999" w:rsidRDefault="000D023F" w:rsidP="000D023F">
      <w:pPr>
        <w:numPr>
          <w:ilvl w:val="0"/>
          <w:numId w:val="22"/>
        </w:numPr>
      </w:pPr>
      <w:proofErr w:type="spellStart"/>
      <w:r w:rsidRPr="00ED2999">
        <w:t>Mannenverzorging</w:t>
      </w:r>
      <w:proofErr w:type="spellEnd"/>
    </w:p>
    <w:p w14:paraId="5F23FA09" w14:textId="77777777" w:rsidR="000D023F" w:rsidRPr="00ED2999" w:rsidRDefault="000D023F" w:rsidP="000D023F">
      <w:pPr>
        <w:numPr>
          <w:ilvl w:val="0"/>
          <w:numId w:val="22"/>
        </w:numPr>
      </w:pPr>
      <w:proofErr w:type="spellStart"/>
      <w:r w:rsidRPr="00ED2999">
        <w:t>Schoonheid</w:t>
      </w:r>
      <w:proofErr w:type="spellEnd"/>
    </w:p>
    <w:p w14:paraId="023C06E9" w14:textId="77777777" w:rsidR="000D023F" w:rsidRPr="00ED2999" w:rsidRDefault="000D023F" w:rsidP="000D023F">
      <w:pPr>
        <w:numPr>
          <w:ilvl w:val="0"/>
          <w:numId w:val="22"/>
        </w:numPr>
      </w:pPr>
      <w:proofErr w:type="spellStart"/>
      <w:r w:rsidRPr="00ED2999">
        <w:t>Mondverzorging</w:t>
      </w:r>
      <w:proofErr w:type="spellEnd"/>
    </w:p>
    <w:p w14:paraId="53E1D1BD" w14:textId="77777777" w:rsidR="000D023F" w:rsidRDefault="000D023F" w:rsidP="000D023F">
      <w:pPr>
        <w:numPr>
          <w:ilvl w:val="0"/>
          <w:numId w:val="22"/>
        </w:numPr>
      </w:pPr>
      <w:r w:rsidRPr="00ED2999">
        <w:t xml:space="preserve">Moeder &amp; kind </w:t>
      </w:r>
      <w:proofErr w:type="spellStart"/>
      <w:r w:rsidRPr="00ED2999">
        <w:t>verzorging</w:t>
      </w:r>
      <w:proofErr w:type="spellEnd"/>
      <w:r w:rsidRPr="00ED2999">
        <w:t xml:space="preserve"> </w:t>
      </w:r>
    </w:p>
    <w:p w14:paraId="1938293D" w14:textId="77777777" w:rsidR="000D023F" w:rsidRPr="000D023F" w:rsidRDefault="000D023F" w:rsidP="000D023F">
      <w:pPr>
        <w:ind w:left="720"/>
        <w:rPr>
          <w:lang w:val="nl-NL"/>
        </w:rPr>
      </w:pPr>
      <w:r w:rsidRPr="000D023F">
        <w:rPr>
          <w:lang w:val="nl-NL"/>
        </w:rPr>
        <w:t xml:space="preserve">Alleen </w:t>
      </w:r>
      <w:proofErr w:type="spellStart"/>
      <w:r w:rsidRPr="000D023F">
        <w:rPr>
          <w:lang w:val="nl-NL"/>
        </w:rPr>
        <w:t>refurbished</w:t>
      </w:r>
      <w:proofErr w:type="spellEnd"/>
      <w:r w:rsidRPr="000D023F">
        <w:rPr>
          <w:lang w:val="nl-NL"/>
        </w:rPr>
        <w:t xml:space="preserve"> producten die duidelijk door Philips Consumer Lifestyle B.V. als zodanig worden gepromoot en verkocht, komen in aanmerking.</w:t>
      </w:r>
    </w:p>
    <w:p w14:paraId="1A92D105" w14:textId="77777777" w:rsidR="000D023F" w:rsidRPr="000D023F" w:rsidRDefault="000D023F" w:rsidP="000D023F">
      <w:pPr>
        <w:ind w:left="720"/>
        <w:rPr>
          <w:lang w:val="nl-NL"/>
        </w:rPr>
      </w:pPr>
      <w:r w:rsidRPr="00EE65A6">
        <w:rPr>
          <w:lang w:val="nl-NL"/>
        </w:rPr>
        <w:t>Alle gereviseerde producten van Philips-licentiehouders zijn uitgesloten van deze campagne.</w:t>
      </w:r>
    </w:p>
    <w:p w14:paraId="0D6967B7" w14:textId="77777777" w:rsidR="000D023F" w:rsidRPr="000D023F" w:rsidRDefault="000D023F" w:rsidP="000D023F">
      <w:pPr>
        <w:numPr>
          <w:ilvl w:val="0"/>
          <w:numId w:val="23"/>
        </w:numPr>
        <w:rPr>
          <w:lang w:val="nl-NL"/>
        </w:rPr>
      </w:pPr>
      <w:r w:rsidRPr="000D023F">
        <w:rPr>
          <w:b/>
          <w:bCs/>
          <w:lang w:val="nl-NL"/>
        </w:rPr>
        <w:t>Territoriaal bereik</w:t>
      </w:r>
      <w:r w:rsidRPr="000D023F">
        <w:rPr>
          <w:lang w:val="nl-NL"/>
        </w:rPr>
        <w:t> Deze promotie is uitsluitend geldig binnen de gebieden van Nederland, Duitsland en België, en alleen voor in aanmerking komende producten die rechtstreeks door Philips Consumer Lifestyle B.V. worden verkocht. Producten die via andere verkoopkanalen zijn gekocht, zijn uitdrukkelijk uitgesloten van deze promotie en komen niet in aanmerking voor de levenslange garantie die hierin wordt geboden.</w:t>
      </w:r>
    </w:p>
    <w:p w14:paraId="1FBC821E" w14:textId="77777777" w:rsidR="000D023F" w:rsidRPr="00BF0E4D" w:rsidRDefault="000D023F" w:rsidP="000D023F">
      <w:pPr>
        <w:numPr>
          <w:ilvl w:val="0"/>
          <w:numId w:val="23"/>
        </w:numPr>
      </w:pPr>
      <w:r w:rsidRPr="000D023F">
        <w:rPr>
          <w:b/>
          <w:bCs/>
          <w:lang w:val="nl-NL"/>
        </w:rPr>
        <w:t>In aanmerking komende aankoopperiode</w:t>
      </w:r>
      <w:r w:rsidRPr="000D023F">
        <w:rPr>
          <w:lang w:val="nl-NL"/>
        </w:rPr>
        <w:t xml:space="preserve"> Om in aanmerking te komen, moet het product op 22 april 2025 worden gekocht. </w:t>
      </w:r>
      <w:proofErr w:type="spellStart"/>
      <w:r w:rsidRPr="00ED2999">
        <w:t>Aankopen</w:t>
      </w:r>
      <w:proofErr w:type="spellEnd"/>
      <w:r w:rsidRPr="00ED2999">
        <w:t xml:space="preserve"> </w:t>
      </w:r>
      <w:proofErr w:type="spellStart"/>
      <w:r w:rsidRPr="00ED2999">
        <w:t>buiten</w:t>
      </w:r>
      <w:proofErr w:type="spellEnd"/>
      <w:r w:rsidRPr="00ED2999">
        <w:t xml:space="preserve"> </w:t>
      </w:r>
      <w:proofErr w:type="spellStart"/>
      <w:r w:rsidRPr="00ED2999">
        <w:t>deze</w:t>
      </w:r>
      <w:proofErr w:type="spellEnd"/>
      <w:r w:rsidRPr="00ED2999">
        <w:t xml:space="preserve"> datum </w:t>
      </w:r>
      <w:proofErr w:type="spellStart"/>
      <w:r w:rsidRPr="00ED2999">
        <w:t>vallen</w:t>
      </w:r>
      <w:proofErr w:type="spellEnd"/>
      <w:r w:rsidRPr="00ED2999">
        <w:t xml:space="preserve"> </w:t>
      </w:r>
      <w:proofErr w:type="spellStart"/>
      <w:r w:rsidRPr="00ED2999">
        <w:t>buiten</w:t>
      </w:r>
      <w:proofErr w:type="spellEnd"/>
      <w:r w:rsidRPr="00ED2999">
        <w:t xml:space="preserve"> </w:t>
      </w:r>
      <w:proofErr w:type="spellStart"/>
      <w:r w:rsidRPr="00ED2999">
        <w:t>deze</w:t>
      </w:r>
      <w:proofErr w:type="spellEnd"/>
      <w:r w:rsidRPr="00ED2999">
        <w:t xml:space="preserve"> </w:t>
      </w:r>
      <w:proofErr w:type="spellStart"/>
      <w:r w:rsidRPr="00ED2999">
        <w:t>promotie</w:t>
      </w:r>
      <w:proofErr w:type="spellEnd"/>
      <w:r w:rsidRPr="00ED2999">
        <w:t>.</w:t>
      </w:r>
    </w:p>
    <w:p w14:paraId="1DD879F0" w14:textId="77777777" w:rsidR="000D023F" w:rsidRPr="000D023F" w:rsidRDefault="000D023F" w:rsidP="000D023F">
      <w:pPr>
        <w:numPr>
          <w:ilvl w:val="0"/>
          <w:numId w:val="24"/>
        </w:numPr>
        <w:rPr>
          <w:lang w:val="nl-NL"/>
        </w:rPr>
      </w:pPr>
      <w:r w:rsidRPr="004016A5">
        <w:rPr>
          <w:b/>
          <w:bCs/>
          <w:lang w:val="nl-NL"/>
        </w:rPr>
        <w:t>Registratie- en claimprocedure</w:t>
      </w:r>
      <w:r w:rsidRPr="004016A5">
        <w:rPr>
          <w:lang w:val="nl-NL"/>
        </w:rPr>
        <w:t xml:space="preserve"> voor producten die rechtstreeks door Philips Consumer Lifestyle B.V. op </w:t>
      </w:r>
      <w:hyperlink r:id="rId13" w:history="1">
        <w:r w:rsidRPr="004016A5">
          <w:rPr>
            <w:rStyle w:val="Hyperlink"/>
            <w:lang w:val="nl-NL"/>
          </w:rPr>
          <w:t>www.philips.com</w:t>
        </w:r>
      </w:hyperlink>
      <w:r w:rsidRPr="004016A5">
        <w:rPr>
          <w:lang w:val="nl-NL"/>
        </w:rPr>
        <w:t> worden verkocht</w:t>
      </w:r>
      <w:r w:rsidRPr="004016A5">
        <w:rPr>
          <w:lang w:val="nl-NL"/>
        </w:rPr>
        <w:br/>
        <w:t>Consumenten die rechtstreeks via </w:t>
      </w:r>
      <w:hyperlink r:id="rId14" w:history="1">
        <w:r w:rsidRPr="004016A5">
          <w:rPr>
            <w:rStyle w:val="Hyperlink"/>
            <w:lang w:val="nl-NL"/>
          </w:rPr>
          <w:t>www.philips.com</w:t>
        </w:r>
      </w:hyperlink>
      <w:r w:rsidRPr="004016A5">
        <w:rPr>
          <w:lang w:val="nl-NL"/>
        </w:rPr>
        <w:t xml:space="preserve"> hebben gekocht en in aanmerking komen, ontvangen automatisch een digitaal certificaat via het e-mailadres dat ze gebruikten om hun aankoop te registreren, als onderdeel van de Levenslange Garantie promotie. </w:t>
      </w:r>
      <w:r w:rsidRPr="000D023F">
        <w:rPr>
          <w:lang w:val="nl-NL"/>
        </w:rPr>
        <w:t xml:space="preserve">Dit certificaat wordt binnen </w:t>
      </w:r>
      <w:r w:rsidRPr="000D023F">
        <w:rPr>
          <w:b/>
          <w:bCs/>
          <w:lang w:val="nl-NL"/>
        </w:rPr>
        <w:t>3 (drie) maanden</w:t>
      </w:r>
      <w:r w:rsidRPr="000D023F">
        <w:rPr>
          <w:lang w:val="nl-NL"/>
        </w:rPr>
        <w:t xml:space="preserve"> na de aankoopdatum verzonden, zonder dat verdere actie of contact met Philips vereist is.</w:t>
      </w:r>
    </w:p>
    <w:p w14:paraId="14CAB924" w14:textId="77777777" w:rsidR="000D023F" w:rsidRPr="000D023F" w:rsidRDefault="000D023F" w:rsidP="000D023F">
      <w:pPr>
        <w:ind w:left="720"/>
        <w:rPr>
          <w:lang w:val="nl-NL"/>
        </w:rPr>
      </w:pPr>
    </w:p>
    <w:p w14:paraId="402D6276" w14:textId="77777777" w:rsidR="000D023F" w:rsidRPr="000D023F" w:rsidRDefault="000D023F" w:rsidP="000D023F">
      <w:pPr>
        <w:numPr>
          <w:ilvl w:val="0"/>
          <w:numId w:val="24"/>
        </w:numPr>
        <w:rPr>
          <w:lang w:val="nl-NL"/>
        </w:rPr>
      </w:pPr>
      <w:r w:rsidRPr="000D023F">
        <w:rPr>
          <w:lang w:val="nl-NL"/>
        </w:rPr>
        <w:t>Registratie- en claimprocedure voor producten die rechtstreeks door Philips Consumer Lifestyle B.V. via marktplaatsplatforms worden verkocht</w:t>
      </w:r>
    </w:p>
    <w:p w14:paraId="28270E2D" w14:textId="77777777" w:rsidR="000D023F" w:rsidRPr="004016A5" w:rsidRDefault="000D023F" w:rsidP="000D023F">
      <w:pPr>
        <w:ind w:left="720"/>
        <w:rPr>
          <w:lang w:val="nl-NL"/>
        </w:rPr>
      </w:pPr>
      <w:r w:rsidRPr="004016A5">
        <w:rPr>
          <w:lang w:val="nl-NL"/>
        </w:rPr>
        <w:t>5.1 Om in aanmerking te komen voor de levenslange garantie, dienen consumenten de registratie te starten door contact op te nemen met Philips Consumer Care via één van de aangewezen communicatiekanalen vermeld op </w:t>
      </w:r>
      <w:hyperlink r:id="rId15" w:history="1">
        <w:r w:rsidRPr="004016A5">
          <w:rPr>
            <w:rStyle w:val="Hyperlink"/>
            <w:lang w:val="nl-NL"/>
          </w:rPr>
          <w:t>www.philips.com/contact</w:t>
        </w:r>
      </w:hyperlink>
      <w:r w:rsidRPr="004016A5">
        <w:rPr>
          <w:lang w:val="nl-NL"/>
        </w:rPr>
        <w:t>.</w:t>
      </w:r>
    </w:p>
    <w:p w14:paraId="7D57AEDC" w14:textId="77777777" w:rsidR="000D023F" w:rsidRPr="000D023F" w:rsidRDefault="000D023F" w:rsidP="000D023F">
      <w:pPr>
        <w:ind w:left="720"/>
        <w:rPr>
          <w:lang w:val="nl-NL"/>
        </w:rPr>
      </w:pPr>
      <w:r w:rsidRPr="000D023F">
        <w:rPr>
          <w:lang w:val="nl-NL"/>
        </w:rPr>
        <w:t>5.2 Consumenten moeten indienen:</w:t>
      </w:r>
    </w:p>
    <w:p w14:paraId="27DC17F2" w14:textId="77777777" w:rsidR="000D023F" w:rsidRPr="00684DB5" w:rsidRDefault="000D023F" w:rsidP="000D023F">
      <w:pPr>
        <w:ind w:left="720"/>
        <w:rPr>
          <w:lang w:val="nl-NL"/>
        </w:rPr>
      </w:pPr>
      <w:r w:rsidRPr="00684DB5">
        <w:rPr>
          <w:lang w:val="nl-NL"/>
        </w:rPr>
        <w:t>Een formeel registratieverzoek; en</w:t>
      </w:r>
    </w:p>
    <w:p w14:paraId="418F79A7" w14:textId="77777777" w:rsidR="000D023F" w:rsidRPr="00684DB5" w:rsidRDefault="000D023F" w:rsidP="000D023F">
      <w:pPr>
        <w:ind w:left="720"/>
        <w:rPr>
          <w:lang w:val="nl-NL"/>
        </w:rPr>
      </w:pPr>
      <w:r w:rsidRPr="00684DB5">
        <w:rPr>
          <w:lang w:val="nl-NL"/>
        </w:rPr>
        <w:t xml:space="preserve">Geldig aankoopbewijs waarop duidelijk het product, de aankoopdatum en het verkooppunt staan vermeld. </w:t>
      </w:r>
    </w:p>
    <w:p w14:paraId="383AD43C" w14:textId="77777777" w:rsidR="000D023F" w:rsidRPr="000D023F" w:rsidRDefault="000D023F" w:rsidP="000D023F">
      <w:pPr>
        <w:ind w:left="720"/>
        <w:rPr>
          <w:lang w:val="nl-NL"/>
        </w:rPr>
      </w:pPr>
      <w:r w:rsidRPr="000D023F">
        <w:rPr>
          <w:lang w:val="nl-NL"/>
        </w:rPr>
        <w:lastRenderedPageBreak/>
        <w:t xml:space="preserve">5.3 Het registratieverzoek moet worden ingediend binnen 30 kalenderdagen na de aankoopdatum. Verzoeken die na deze periode worden ingediend, worden als ongeldig beschouwd en komen niet in aanmerking voor de levenslange garantie. </w:t>
      </w:r>
    </w:p>
    <w:p w14:paraId="43ECD019" w14:textId="77777777" w:rsidR="000D023F" w:rsidRPr="000D023F" w:rsidRDefault="000D023F" w:rsidP="000D023F">
      <w:pPr>
        <w:ind w:left="720"/>
        <w:rPr>
          <w:lang w:val="nl-NL"/>
        </w:rPr>
      </w:pPr>
      <w:r w:rsidRPr="000D023F">
        <w:rPr>
          <w:lang w:val="nl-NL"/>
        </w:rPr>
        <w:t xml:space="preserve">5.4 Na succesvolle verificatie van de ingediende documenten zal Philips een digitaal garantiecertificaat afgeven naar het e-mailadres dat door de consument is opgegeven binnen maximaal drie (3) maanden vanaf de datum van het eerste contact. </w:t>
      </w:r>
    </w:p>
    <w:p w14:paraId="6EF821CD" w14:textId="77777777" w:rsidR="000D023F" w:rsidRPr="000D023F" w:rsidRDefault="000D023F" w:rsidP="000D023F">
      <w:pPr>
        <w:ind w:left="720"/>
        <w:rPr>
          <w:lang w:val="nl-NL"/>
        </w:rPr>
      </w:pPr>
      <w:r w:rsidRPr="000D023F">
        <w:rPr>
          <w:lang w:val="nl-NL"/>
        </w:rPr>
        <w:t>5.5 De consument draagt volledige verantwoordelijkheid voor de juistheid van de ingediende informatie en het veilig bewaren van het garantiecertificaat en het aankoopbewijs.</w:t>
      </w:r>
    </w:p>
    <w:p w14:paraId="4035A3B1" w14:textId="77777777" w:rsidR="000D023F" w:rsidRPr="000D023F" w:rsidRDefault="000D023F" w:rsidP="000D023F">
      <w:pPr>
        <w:pStyle w:val="ListParagraph"/>
        <w:numPr>
          <w:ilvl w:val="0"/>
          <w:numId w:val="0"/>
        </w:numPr>
        <w:ind w:left="720"/>
        <w:rPr>
          <w:lang w:val="nl-NL"/>
        </w:rPr>
      </w:pPr>
    </w:p>
    <w:p w14:paraId="64D59EA1" w14:textId="77777777" w:rsidR="000D023F" w:rsidRPr="000D023F" w:rsidRDefault="000D023F" w:rsidP="000D023F">
      <w:pPr>
        <w:pStyle w:val="ListParagraph"/>
        <w:numPr>
          <w:ilvl w:val="0"/>
          <w:numId w:val="24"/>
        </w:numPr>
        <w:rPr>
          <w:lang w:val="nl-NL"/>
        </w:rPr>
      </w:pPr>
      <w:r w:rsidRPr="000D023F">
        <w:rPr>
          <w:b/>
          <w:bCs/>
          <w:lang w:val="nl-NL"/>
        </w:rPr>
        <w:t>Omvang en voorwaarden van de levenslange garantie</w:t>
      </w:r>
      <w:r w:rsidRPr="000D023F">
        <w:rPr>
          <w:lang w:val="nl-NL"/>
        </w:rPr>
        <w:t> </w:t>
      </w:r>
    </w:p>
    <w:p w14:paraId="723384D1" w14:textId="77777777" w:rsidR="000D023F" w:rsidRPr="000D023F" w:rsidRDefault="000D023F" w:rsidP="000D023F">
      <w:pPr>
        <w:pStyle w:val="ListParagraph"/>
        <w:numPr>
          <w:ilvl w:val="0"/>
          <w:numId w:val="0"/>
        </w:numPr>
        <w:ind w:left="720"/>
        <w:rPr>
          <w:lang w:val="nl-NL"/>
        </w:rPr>
      </w:pPr>
      <w:r w:rsidRPr="000D023F">
        <w:rPr>
          <w:lang w:val="nl-NL"/>
        </w:rPr>
        <w:t xml:space="preserve">6.1 De levenslange garantie is alleen geldig voor de oorspronkelijke koper van het in aanmerking komende </w:t>
      </w:r>
      <w:proofErr w:type="spellStart"/>
      <w:r w:rsidRPr="000D023F">
        <w:rPr>
          <w:lang w:val="nl-NL"/>
        </w:rPr>
        <w:t>refurbished</w:t>
      </w:r>
      <w:proofErr w:type="spellEnd"/>
      <w:r w:rsidRPr="000D023F">
        <w:rPr>
          <w:lang w:val="nl-NL"/>
        </w:rPr>
        <w:t xml:space="preserve"> product en blijft van kracht voor de duur van het gebruik van het product door de consument. De garantie is strikt niet-overdraagbaar en geldt niet voor tweedehands eigenaars of geërfde producten. </w:t>
      </w:r>
    </w:p>
    <w:p w14:paraId="3D7B2935" w14:textId="77777777" w:rsidR="000D023F" w:rsidRPr="000D023F" w:rsidRDefault="000D023F" w:rsidP="000D023F">
      <w:pPr>
        <w:pStyle w:val="ListParagraph"/>
        <w:numPr>
          <w:ilvl w:val="0"/>
          <w:numId w:val="0"/>
        </w:numPr>
        <w:ind w:left="720"/>
        <w:rPr>
          <w:lang w:val="nl-NL"/>
        </w:rPr>
      </w:pPr>
      <w:r w:rsidRPr="000D023F">
        <w:rPr>
          <w:lang w:val="nl-NL"/>
        </w:rPr>
        <w:t>6.2 Om de garantie in te roepen, moet de consument het volgende overleggen:</w:t>
      </w:r>
    </w:p>
    <w:p w14:paraId="38E8A3A8" w14:textId="77777777" w:rsidR="000D023F" w:rsidRPr="00684DB5" w:rsidRDefault="000D023F" w:rsidP="000D023F">
      <w:pPr>
        <w:ind w:left="720"/>
        <w:rPr>
          <w:lang w:val="nl-NL"/>
        </w:rPr>
      </w:pPr>
      <w:r w:rsidRPr="00684DB5">
        <w:rPr>
          <w:lang w:val="nl-NL"/>
        </w:rPr>
        <w:t>Het originele digitale levenslange garantiecertificaat;</w:t>
      </w:r>
    </w:p>
    <w:p w14:paraId="4FDB2FDC" w14:textId="77777777" w:rsidR="000D023F" w:rsidRPr="00684DB5" w:rsidRDefault="000D023F" w:rsidP="000D023F">
      <w:pPr>
        <w:ind w:left="720"/>
        <w:rPr>
          <w:lang w:val="nl-NL"/>
        </w:rPr>
      </w:pPr>
      <w:r w:rsidRPr="00684DB5">
        <w:rPr>
          <w:lang w:val="nl-NL"/>
        </w:rPr>
        <w:t>Aankoopbewijs; en</w:t>
      </w:r>
    </w:p>
    <w:p w14:paraId="26C7DDDF" w14:textId="77777777" w:rsidR="000D023F" w:rsidRPr="00684DB5" w:rsidRDefault="000D023F" w:rsidP="000D023F">
      <w:pPr>
        <w:ind w:left="720"/>
        <w:rPr>
          <w:lang w:val="nl-NL"/>
        </w:rPr>
      </w:pPr>
      <w:r w:rsidRPr="00684DB5">
        <w:rPr>
          <w:lang w:val="nl-NL"/>
        </w:rPr>
        <w:t xml:space="preserve">Indien gevraagd, het fysieke product voor inspectie. </w:t>
      </w:r>
    </w:p>
    <w:p w14:paraId="5C976A69" w14:textId="77777777" w:rsidR="000D023F" w:rsidRPr="00684DB5" w:rsidRDefault="000D023F" w:rsidP="000D023F">
      <w:pPr>
        <w:ind w:left="708"/>
        <w:rPr>
          <w:lang w:val="nl-NL"/>
        </w:rPr>
      </w:pPr>
      <w:r w:rsidRPr="00684DB5">
        <w:rPr>
          <w:lang w:val="nl-NL"/>
        </w:rPr>
        <w:t xml:space="preserve"> 6.3 De garantie dekt niet:</w:t>
      </w:r>
    </w:p>
    <w:p w14:paraId="37DA130A" w14:textId="77777777" w:rsidR="000D023F" w:rsidRPr="00684DB5" w:rsidRDefault="000D023F" w:rsidP="000D023F">
      <w:pPr>
        <w:ind w:left="720"/>
        <w:rPr>
          <w:lang w:val="nl-NL"/>
        </w:rPr>
      </w:pPr>
      <w:r w:rsidRPr="00684DB5">
        <w:rPr>
          <w:lang w:val="nl-NL"/>
        </w:rPr>
        <w:t>Productaccessoires en verbruiksartikelen;</w:t>
      </w:r>
    </w:p>
    <w:p w14:paraId="441938C1" w14:textId="77777777" w:rsidR="000D023F" w:rsidRPr="00684DB5" w:rsidRDefault="000D023F" w:rsidP="000D023F">
      <w:pPr>
        <w:ind w:left="720"/>
        <w:rPr>
          <w:lang w:val="nl-NL"/>
        </w:rPr>
      </w:pPr>
      <w:r w:rsidRPr="00684DB5">
        <w:rPr>
          <w:lang w:val="nl-NL"/>
        </w:rPr>
        <w:t xml:space="preserve">Producten die zijn beschadigd door misbruik, nalatigheid of het niet naleven van de gebruiksinstructies. </w:t>
      </w:r>
    </w:p>
    <w:p w14:paraId="16A320F4" w14:textId="77777777" w:rsidR="000D023F" w:rsidRPr="000D023F" w:rsidRDefault="000D023F" w:rsidP="000D023F">
      <w:pPr>
        <w:ind w:left="720"/>
        <w:rPr>
          <w:lang w:val="nl-NL"/>
        </w:rPr>
      </w:pPr>
      <w:r w:rsidRPr="000D023F">
        <w:rPr>
          <w:lang w:val="nl-NL"/>
        </w:rPr>
        <w:t>6.4 In geval van een geldige garantieclaim zal Philips, naar eigen goeddunken, ofwel:</w:t>
      </w:r>
    </w:p>
    <w:p w14:paraId="0B33E625" w14:textId="77777777" w:rsidR="000D023F" w:rsidRPr="00684DB5" w:rsidRDefault="000D023F" w:rsidP="000D023F">
      <w:pPr>
        <w:ind w:left="720"/>
        <w:rPr>
          <w:lang w:val="nl-NL"/>
        </w:rPr>
      </w:pPr>
      <w:r w:rsidRPr="00684DB5">
        <w:rPr>
          <w:lang w:val="nl-NL"/>
        </w:rPr>
        <w:t xml:space="preserve">Het defecte product vervangen door een vergelijkbaar </w:t>
      </w:r>
      <w:proofErr w:type="spellStart"/>
      <w:r w:rsidRPr="00684DB5">
        <w:rPr>
          <w:lang w:val="nl-NL"/>
        </w:rPr>
        <w:t>refurbished</w:t>
      </w:r>
      <w:proofErr w:type="spellEnd"/>
      <w:r w:rsidRPr="00684DB5">
        <w:rPr>
          <w:lang w:val="nl-NL"/>
        </w:rPr>
        <w:t xml:space="preserve"> product; of</w:t>
      </w:r>
    </w:p>
    <w:p w14:paraId="6110C114" w14:textId="77777777" w:rsidR="000D023F" w:rsidRPr="00684DB5" w:rsidRDefault="000D023F" w:rsidP="000D023F">
      <w:pPr>
        <w:ind w:left="720"/>
        <w:rPr>
          <w:lang w:val="nl-NL"/>
        </w:rPr>
      </w:pPr>
      <w:proofErr w:type="gramStart"/>
      <w:r w:rsidRPr="00684DB5">
        <w:rPr>
          <w:lang w:val="nl-NL"/>
        </w:rPr>
        <w:t>Indien</w:t>
      </w:r>
      <w:proofErr w:type="gramEnd"/>
      <w:r w:rsidRPr="00684DB5">
        <w:rPr>
          <w:lang w:val="nl-NL"/>
        </w:rPr>
        <w:t xml:space="preserve"> geen </w:t>
      </w:r>
      <w:proofErr w:type="spellStart"/>
      <w:r w:rsidRPr="00684DB5">
        <w:rPr>
          <w:lang w:val="nl-NL"/>
        </w:rPr>
        <w:t>refurbished</w:t>
      </w:r>
      <w:proofErr w:type="spellEnd"/>
      <w:r w:rsidRPr="00684DB5">
        <w:rPr>
          <w:lang w:val="nl-NL"/>
        </w:rPr>
        <w:t xml:space="preserve"> product beschikbaar is, een nieuw vervangend product leveren. Indien Philips geen vergelijkbaar product meer aanbiedt, geldt er geen vervangings- of compensatieplicht. </w:t>
      </w:r>
    </w:p>
    <w:p w14:paraId="5ACBF97A" w14:textId="77777777" w:rsidR="000D023F" w:rsidRPr="000D023F" w:rsidRDefault="000D023F" w:rsidP="000D023F">
      <w:pPr>
        <w:ind w:left="720"/>
        <w:rPr>
          <w:lang w:val="nl-NL"/>
        </w:rPr>
      </w:pPr>
      <w:r w:rsidRPr="000D023F">
        <w:rPr>
          <w:lang w:val="nl-NL"/>
        </w:rPr>
        <w:t xml:space="preserve">6.5 Elk digitaal garantiecertificaat dat een replicatie, wijziging, vervalsing of anderszins is gemanipuleerd, wordt als ongeldig beschouwd en Philips behoudt zich het recht voor om de claim af te wijzen. </w:t>
      </w:r>
    </w:p>
    <w:p w14:paraId="5E2E95A9" w14:textId="77777777" w:rsidR="000D023F" w:rsidRPr="000D023F" w:rsidRDefault="000D023F" w:rsidP="000D023F">
      <w:pPr>
        <w:ind w:left="720"/>
        <w:rPr>
          <w:lang w:val="nl-NL"/>
        </w:rPr>
      </w:pPr>
      <w:r w:rsidRPr="000D023F">
        <w:rPr>
          <w:lang w:val="nl-NL"/>
        </w:rPr>
        <w:t xml:space="preserve">6.6 Philips draagt geen aansprakelijkheid in gevallen waarin de consument geen geldig garantiecertificaat en/of aankoopbewijs kan overleggen, ongeacht de reden. </w:t>
      </w:r>
    </w:p>
    <w:p w14:paraId="3C305427" w14:textId="77777777" w:rsidR="000D023F" w:rsidRPr="000D023F" w:rsidRDefault="000D023F" w:rsidP="000D023F">
      <w:pPr>
        <w:ind w:left="720"/>
        <w:rPr>
          <w:lang w:val="nl-NL"/>
        </w:rPr>
      </w:pPr>
      <w:r w:rsidRPr="000D023F">
        <w:rPr>
          <w:lang w:val="nl-NL"/>
        </w:rPr>
        <w:t>6.7 Deze promotionele garantie komt bovenop en doet geen afbreuk aan de wettelijke rechten van de consument onder toepasselijke consumentenbeschermingswetten.</w:t>
      </w:r>
    </w:p>
    <w:p w14:paraId="25193B41" w14:textId="77777777" w:rsidR="000D023F" w:rsidRPr="00ED2999" w:rsidRDefault="000D023F" w:rsidP="000D023F">
      <w:r>
        <w:pict w14:anchorId="177B32B1">
          <v:rect id="_x0000_i1025" style="width:0;height:0" o:hralign="center" o:hrstd="t" o:hrnoshade="t" o:hr="t" fillcolor="#15191e" stroked="f"/>
        </w:pict>
      </w:r>
    </w:p>
    <w:p w14:paraId="48AAA843" w14:textId="23198402" w:rsidR="00363C0C" w:rsidRPr="000D023F" w:rsidRDefault="000D023F" w:rsidP="0016378F">
      <w:pPr>
        <w:rPr>
          <w:lang w:val="nl-NL"/>
        </w:rPr>
      </w:pPr>
      <w:r w:rsidRPr="000D023F">
        <w:rPr>
          <w:b/>
          <w:bCs/>
          <w:lang w:val="nl-NL"/>
        </w:rPr>
        <w:lastRenderedPageBreak/>
        <w:t>Opmerking:</w:t>
      </w:r>
      <w:r w:rsidRPr="000D023F">
        <w:rPr>
          <w:lang w:val="nl-NL"/>
        </w:rPr>
        <w:t> Deze levenslange garantie blijft uitsluitend geldig voor de duur van het persoonlijk gebruik van het product door de oorspronkelijke consument en vervalt bij overdracht of erfenis. Philips Consumer Lifestyle B.V. behoudt zich het recht voor om deze promotieaanbieding te allen tijde te wijzigen of te beëindigen, zonder voorafgaande kennisgeving, mits dergelijke wijzigingen geen afbreuk doen aan reeds verworven rechten van consumenten.</w:t>
      </w:r>
    </w:p>
    <w:sectPr w:rsidR="00363C0C" w:rsidRPr="000D023F" w:rsidSect="00C4442C">
      <w:footerReference w:type="default" r:id="rId16"/>
      <w:footerReference w:type="first" r:id="rId17"/>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E742E" w14:textId="77777777" w:rsidR="00AF4FAD" w:rsidRDefault="00AF4FAD">
      <w:r>
        <w:separator/>
      </w:r>
    </w:p>
  </w:endnote>
  <w:endnote w:type="continuationSeparator" w:id="0">
    <w:p w14:paraId="4964D2C9" w14:textId="77777777" w:rsidR="00AF4FAD" w:rsidRDefault="00AF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7A6F"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E031"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4388" w14:textId="77777777" w:rsidR="00AF4FAD" w:rsidRDefault="00AF4FAD">
      <w:r>
        <w:separator/>
      </w:r>
    </w:p>
  </w:footnote>
  <w:footnote w:type="continuationSeparator" w:id="0">
    <w:p w14:paraId="70E20932" w14:textId="77777777" w:rsidR="00AF4FAD" w:rsidRDefault="00AF4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8563D2"/>
    <w:multiLevelType w:val="multilevel"/>
    <w:tmpl w:val="9B12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5" w15:restartNumberingAfterBreak="0">
    <w:nsid w:val="24E63F2D"/>
    <w:multiLevelType w:val="multilevel"/>
    <w:tmpl w:val="BDBEA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60139"/>
    <w:multiLevelType w:val="multilevel"/>
    <w:tmpl w:val="25A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B01CC8"/>
    <w:multiLevelType w:val="multilevel"/>
    <w:tmpl w:val="93F0D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3700ED"/>
    <w:multiLevelType w:val="multilevel"/>
    <w:tmpl w:val="574087B6"/>
    <w:numStyleLink w:val="Philipsbullets"/>
  </w:abstractNum>
  <w:abstractNum w:abstractNumId="20"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2409484">
    <w:abstractNumId w:val="17"/>
  </w:num>
  <w:num w:numId="2" w16cid:durableId="745687433">
    <w:abstractNumId w:val="14"/>
  </w:num>
  <w:num w:numId="3" w16cid:durableId="686714423">
    <w:abstractNumId w:val="19"/>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1"/>
  </w:num>
  <w:num w:numId="15" w16cid:durableId="1138381478">
    <w:abstractNumId w:val="20"/>
  </w:num>
  <w:num w:numId="16" w16cid:durableId="2053729243">
    <w:abstractNumId w:val="12"/>
  </w:num>
  <w:num w:numId="17" w16cid:durableId="1035693969">
    <w:abstractNumId w:val="10"/>
  </w:num>
  <w:num w:numId="18" w16cid:durableId="487478907">
    <w:abstractNumId w:val="10"/>
  </w:num>
  <w:num w:numId="19" w16cid:durableId="101074031">
    <w:abstractNumId w:val="10"/>
  </w:num>
  <w:num w:numId="20" w16cid:durableId="116683810">
    <w:abstractNumId w:val="10"/>
  </w:num>
  <w:num w:numId="21" w16cid:durableId="607855065">
    <w:abstractNumId w:val="13"/>
  </w:num>
  <w:num w:numId="22" w16cid:durableId="1380204599">
    <w:abstractNumId w:val="16"/>
  </w:num>
  <w:num w:numId="23" w16cid:durableId="2009012771">
    <w:abstractNumId w:val="18"/>
  </w:num>
  <w:num w:numId="24" w16cid:durableId="4688628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3F"/>
    <w:rsid w:val="0001308C"/>
    <w:rsid w:val="00014F84"/>
    <w:rsid w:val="000260FC"/>
    <w:rsid w:val="00035A19"/>
    <w:rsid w:val="00047D5C"/>
    <w:rsid w:val="00056E22"/>
    <w:rsid w:val="00081964"/>
    <w:rsid w:val="00091FB2"/>
    <w:rsid w:val="000943AB"/>
    <w:rsid w:val="0009471A"/>
    <w:rsid w:val="000D023F"/>
    <w:rsid w:val="000D2E72"/>
    <w:rsid w:val="000F2014"/>
    <w:rsid w:val="000F2F8C"/>
    <w:rsid w:val="000F713C"/>
    <w:rsid w:val="00101C7A"/>
    <w:rsid w:val="00110460"/>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50F6A"/>
    <w:rsid w:val="0035650B"/>
    <w:rsid w:val="00363923"/>
    <w:rsid w:val="00363C0C"/>
    <w:rsid w:val="00383300"/>
    <w:rsid w:val="003C7BC4"/>
    <w:rsid w:val="003E696C"/>
    <w:rsid w:val="00412931"/>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C6E8C"/>
    <w:rsid w:val="009D0765"/>
    <w:rsid w:val="009E2945"/>
    <w:rsid w:val="009F0F23"/>
    <w:rsid w:val="00A0626A"/>
    <w:rsid w:val="00A45509"/>
    <w:rsid w:val="00A5538C"/>
    <w:rsid w:val="00A613E1"/>
    <w:rsid w:val="00A86808"/>
    <w:rsid w:val="00AA1551"/>
    <w:rsid w:val="00AA3BCC"/>
    <w:rsid w:val="00AB1495"/>
    <w:rsid w:val="00AD7FD4"/>
    <w:rsid w:val="00AF4FAD"/>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76C14"/>
    <w:rsid w:val="00C80E08"/>
    <w:rsid w:val="00C90041"/>
    <w:rsid w:val="00C96175"/>
    <w:rsid w:val="00CC4CE1"/>
    <w:rsid w:val="00CE46FA"/>
    <w:rsid w:val="00CE47CA"/>
    <w:rsid w:val="00CF4E8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830A2"/>
  <w15:docId w15:val="{1B012732-3CE6-44B3-AEA7-E675814B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23F"/>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126E"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0836"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0D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126E"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126E"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B5ED7"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0836"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0D52"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hilip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hilips.com/contact"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hilip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94641\AppData\Local\Temp\Templafy\WordVsto\vtjhlrcg.dotx" TargetMode="External"/></Relationships>
</file>

<file path=word/theme/theme1.xml><?xml version="1.0" encoding="utf-8"?>
<a:theme xmlns:a="http://schemas.openxmlformats.org/drawingml/2006/main" name="philips2021">
  <a:themeElements>
    <a:clrScheme name="Philips">
      <a:dk1>
        <a:srgbClr val="000000"/>
      </a:dk1>
      <a:lt1>
        <a:srgbClr val="FFFFFF"/>
      </a:lt1>
      <a:dk2>
        <a:srgbClr val="0B5ED7"/>
      </a:dk2>
      <a:lt2>
        <a:srgbClr val="BDF0FF"/>
      </a:lt2>
      <a:accent1>
        <a:srgbClr val="00126E"/>
      </a:accent1>
      <a:accent2>
        <a:srgbClr val="02DA20"/>
      </a:accent2>
      <a:accent3>
        <a:srgbClr val="F85569"/>
      </a:accent3>
      <a:accent4>
        <a:srgbClr val="FFCF50"/>
      </a:accent4>
      <a:accent5>
        <a:srgbClr val="FA8DDC"/>
      </a:accent5>
      <a:accent6>
        <a:srgbClr val="D780FF"/>
      </a:accent6>
      <a:hlink>
        <a:srgbClr val="0B5ED7"/>
      </a:hlink>
      <a:folHlink>
        <a:srgbClr val="0B5ED7"/>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Light Blue">
      <a:srgbClr val="BDF0FF"/>
    </a:custClr>
    <a:custClr name="Light Aqua">
      <a:srgbClr val="9CF6FB"/>
    </a:custClr>
    <a:custClr name="Light Green">
      <a:srgbClr val="ADFFB5"/>
    </a:custClr>
    <a:custClr name="Light Gold">
      <a:srgbClr val="FCFCC2"/>
    </a:custClr>
    <a:custClr name="Light Coral">
      <a:srgbClr val="FFDEDB"/>
    </a:custClr>
    <a:custClr name="Light Pink">
      <a:srgbClr val="FFE5F9"/>
    </a:custClr>
    <a:custClr name="Light Purple">
      <a:srgbClr val="F1DEFC"/>
    </a:custClr>
    <a:custClr name="White">
      <a:srgbClr val="FFFFFF"/>
    </a:custClr>
    <a:custClr name="White">
      <a:srgbClr val="FFFFFF"/>
    </a:custClr>
    <a:custClr name="White">
      <a:srgbClr val="FFFFFF"/>
    </a:custClr>
    <a:custClr name="Philips Blue">
      <a:srgbClr val="0B5ED7"/>
    </a:custClr>
    <a:custClr name="Aqua">
      <a:srgbClr val="02ABB1"/>
    </a:custClr>
    <a:custClr name="Green">
      <a:srgbClr val="02DA21"/>
    </a:custClr>
    <a:custClr name="Gold">
      <a:srgbClr val="FFCF50"/>
    </a:custClr>
    <a:custClr name="Coral">
      <a:srgbClr val="F85569"/>
    </a:custClr>
    <a:custClr name="Pink">
      <a:srgbClr val="FA8DDC"/>
    </a:custClr>
    <a:custClr name="Purple">
      <a:srgbClr val="D780FF"/>
    </a:custClr>
    <a:custClr name="White">
      <a:srgbClr val="FFFFFF"/>
    </a:custClr>
    <a:custClr name="White">
      <a:srgbClr val="FFFFFF"/>
    </a:custClr>
    <a:custClr name="White">
      <a:srgbClr val="FFFFFF"/>
    </a:custClr>
    <a:custClr name="Dark Blue">
      <a:srgbClr val="00126E"/>
    </a:custClr>
    <a:custClr name="Dark Aqua">
      <a:srgbClr val="00666F"/>
    </a:custClr>
    <a:custClr name="Dark Green">
      <a:srgbClr val="008800"/>
    </a:custClr>
    <a:custClr name="Dark Gold">
      <a:srgbClr val="FCA708"/>
    </a:custClr>
    <a:custClr name="Dark Coral">
      <a:srgbClr val="D43F44"/>
    </a:custClr>
    <a:custClr name="Dark Pink">
      <a:srgbClr val="DB0383"/>
    </a:custClr>
    <a:custClr name="Dark Purple">
      <a:srgbClr val="A80DF2"/>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TemplateConfiguration><![CDATA[{"elementsMetadata":[],"transformationConfigurations":[],"templateName":"Philips Blank (1)","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E5B46-258F-4D55-A065-A66E3224440F}">
  <ds:schemaRefs/>
</ds:datastoreItem>
</file>

<file path=customXml/itemProps3.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4.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88F483A-6751-4EC4-B3C4-453CB9CA0C65}">
  <ds:schemaRefs/>
</ds:datastoreItem>
</file>

<file path=customXml/itemProps6.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vtjhlrcg</Template>
  <TotalTime>0</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Poirot, Helene</dc:creator>
  <cp:keywords/>
  <cp:lastModifiedBy>Poirot, Helene</cp:lastModifiedBy>
  <cp:revision>1</cp:revision>
  <dcterms:created xsi:type="dcterms:W3CDTF">2025-04-18T16:21:00Z</dcterms:created>
  <dcterms:modified xsi:type="dcterms:W3CDTF">2025-04-18T16:23:00Z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1129861465149538368</vt:lpwstr>
  </property>
  <property fmtid="{D5CDD505-2E9C-101B-9397-08002B2CF9AE}" pid="5" name="TemplafyUserProfileId">
    <vt:lpwstr>637648637057524913</vt:lpwstr>
  </property>
  <property fmtid="{D5CDD505-2E9C-101B-9397-08002B2CF9AE}" pid="6" name="TemplafyFromBlank">
    <vt:bool>true</vt:bool>
  </property>
</Properties>
</file>