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849" w:rsidRPr="008B6731" w:rsidRDefault="00965474" w:rsidP="00225849">
      <w:pPr>
        <w:keepNext/>
        <w:outlineLvl w:val="0"/>
        <w:rPr>
          <w:rFonts w:cs="Calibri"/>
          <w:snapToGrid w:val="0"/>
          <w:color w:val="0B2265"/>
          <w:sz w:val="44"/>
          <w:lang w:val="de-DE" w:eastAsia="en-US"/>
        </w:rPr>
      </w:pPr>
      <w:r>
        <w:rPr>
          <w:rFonts w:cs="Calibri"/>
          <w:snapToGrid w:val="0"/>
          <w:color w:val="0B2265"/>
          <w:sz w:val="44"/>
          <w:lang w:val="de-DE" w:eastAsia="en-US"/>
        </w:rPr>
        <w:t>Hintergrundinformationen für die Medien</w:t>
      </w:r>
    </w:p>
    <w:p w:rsidR="00225849" w:rsidRPr="008B6731" w:rsidRDefault="00225849" w:rsidP="00225849">
      <w:pPr>
        <w:rPr>
          <w:rFonts w:cs="Calibri"/>
          <w:szCs w:val="24"/>
          <w:lang w:val="de-DE" w:eastAsia="en-US"/>
        </w:rPr>
      </w:pPr>
    </w:p>
    <w:p w:rsidR="0008088C" w:rsidRPr="008B6731" w:rsidRDefault="0008088C" w:rsidP="00225849">
      <w:pPr>
        <w:rPr>
          <w:rFonts w:cs="Calibri"/>
          <w:szCs w:val="24"/>
          <w:lang w:val="de-DE" w:eastAsia="en-US"/>
        </w:rPr>
      </w:pPr>
    </w:p>
    <w:p w:rsidR="00965474" w:rsidRPr="00965474" w:rsidRDefault="00965474" w:rsidP="00965474">
      <w:pPr>
        <w:rPr>
          <w:rFonts w:cs="Calibri"/>
          <w:szCs w:val="22"/>
          <w:lang w:val="de-DE"/>
        </w:rPr>
      </w:pPr>
      <w:r w:rsidRPr="00965474">
        <w:rPr>
          <w:rFonts w:cs="Calibri"/>
          <w:szCs w:val="22"/>
          <w:lang w:val="de-DE"/>
        </w:rPr>
        <w:t>September 2014</w:t>
      </w:r>
    </w:p>
    <w:p w:rsidR="00965474" w:rsidRPr="00965474" w:rsidRDefault="00965474" w:rsidP="00965474">
      <w:pPr>
        <w:rPr>
          <w:rFonts w:cs="Calibri"/>
          <w:b/>
          <w:szCs w:val="22"/>
          <w:lang w:val="de-DE"/>
        </w:rPr>
      </w:pPr>
    </w:p>
    <w:p w:rsidR="00965474" w:rsidRDefault="00965474" w:rsidP="00965474">
      <w:pPr>
        <w:rPr>
          <w:rFonts w:ascii="Arial" w:eastAsia="Calibri" w:hAnsi="Arial" w:cs="Arial"/>
          <w:szCs w:val="22"/>
          <w:lang w:val="de-DE"/>
        </w:rPr>
      </w:pPr>
      <w:r w:rsidRPr="00965474">
        <w:rPr>
          <w:rFonts w:cs="Calibri"/>
          <w:b/>
          <w:sz w:val="24"/>
          <w:szCs w:val="24"/>
          <w:lang w:val="de-DE"/>
        </w:rPr>
        <w:t xml:space="preserve">Zweckmäßiges Weißlicht, das sich an die die Umgebung und verschiedene Tätigkeit anpassen lässt, und zugleich stimmungsvoll farbiges Ambiente-Licht – durch diese Kombination eröffnet die vernetzte LED-Design-Leuchte Philips hue </w:t>
      </w:r>
      <w:proofErr w:type="spellStart"/>
      <w:r w:rsidRPr="00965474">
        <w:rPr>
          <w:rFonts w:cs="Calibri"/>
          <w:b/>
          <w:sz w:val="24"/>
          <w:szCs w:val="24"/>
          <w:lang w:val="de-DE"/>
        </w:rPr>
        <w:t>Beyond</w:t>
      </w:r>
      <w:proofErr w:type="spellEnd"/>
      <w:r w:rsidRPr="00965474">
        <w:rPr>
          <w:rFonts w:cs="Calibri"/>
          <w:b/>
          <w:sz w:val="24"/>
          <w:szCs w:val="24"/>
          <w:lang w:val="de-DE"/>
        </w:rPr>
        <w:t xml:space="preserve"> neue und einzigartig vielseitige Möglichkeiten zur Wohnraumbeleuchtung.</w:t>
      </w:r>
    </w:p>
    <w:p w:rsidR="00965474" w:rsidRPr="00A05230" w:rsidRDefault="00965474" w:rsidP="00965474">
      <w:pPr>
        <w:rPr>
          <w:rFonts w:ascii="Arial" w:eastAsia="Calibri" w:hAnsi="Arial" w:cs="Arial"/>
          <w:szCs w:val="22"/>
          <w:lang w:val="de-DE"/>
        </w:rPr>
      </w:pPr>
    </w:p>
    <w:p w:rsidR="00965474" w:rsidRDefault="00965474" w:rsidP="00965474">
      <w:pPr>
        <w:pStyle w:val="KeinLeerraum"/>
        <w:rPr>
          <w:iCs/>
          <w:lang w:val="de-DE"/>
        </w:rPr>
      </w:pPr>
      <w:r>
        <w:rPr>
          <w:noProof/>
          <w:lang w:val="de-DE" w:eastAsia="de-DE"/>
        </w:rPr>
        <w:drawing>
          <wp:anchor distT="0" distB="0" distL="114300" distR="114300" simplePos="0" relativeHeight="251659264" behindDoc="0" locked="0" layoutInCell="1" allowOverlap="1">
            <wp:simplePos x="0" y="0"/>
            <wp:positionH relativeFrom="column">
              <wp:posOffset>19050</wp:posOffset>
            </wp:positionH>
            <wp:positionV relativeFrom="paragraph">
              <wp:posOffset>40005</wp:posOffset>
            </wp:positionV>
            <wp:extent cx="1731645" cy="2527300"/>
            <wp:effectExtent l="0" t="0" r="1905" b="635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1645" cy="252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F82">
        <w:rPr>
          <w:iCs/>
          <w:lang w:val="de-DE"/>
        </w:rPr>
        <w:t>Ph</w:t>
      </w:r>
      <w:r>
        <w:rPr>
          <w:iCs/>
          <w:lang w:val="de-DE"/>
        </w:rPr>
        <w:t xml:space="preserve">ilips hue </w:t>
      </w:r>
      <w:proofErr w:type="spellStart"/>
      <w:r>
        <w:rPr>
          <w:iCs/>
          <w:lang w:val="de-DE"/>
        </w:rPr>
        <w:t>Beyond</w:t>
      </w:r>
      <w:proofErr w:type="spellEnd"/>
      <w:r>
        <w:rPr>
          <w:iCs/>
          <w:lang w:val="de-DE"/>
        </w:rPr>
        <w:t xml:space="preserve"> ist die jüngste Innovation aus der </w:t>
      </w:r>
      <w:hyperlink r:id="rId10" w:history="1">
        <w:r w:rsidRPr="005120C5">
          <w:rPr>
            <w:rStyle w:val="Hyperlink"/>
            <w:iCs/>
            <w:lang w:val="de-DE"/>
          </w:rPr>
          <w:t>Philips hue</w:t>
        </w:r>
      </w:hyperlink>
      <w:r>
        <w:rPr>
          <w:iCs/>
          <w:lang w:val="de-DE"/>
        </w:rPr>
        <w:t xml:space="preserve">-Familie. Die </w:t>
      </w:r>
      <w:r w:rsidRPr="00370F82">
        <w:rPr>
          <w:iCs/>
          <w:lang w:val="de-DE"/>
        </w:rPr>
        <w:t xml:space="preserve">hochwertige </w:t>
      </w:r>
      <w:r>
        <w:rPr>
          <w:iCs/>
          <w:lang w:val="de-DE"/>
        </w:rPr>
        <w:t>LED-</w:t>
      </w:r>
      <w:r w:rsidRPr="00370F82">
        <w:rPr>
          <w:iCs/>
          <w:lang w:val="de-DE"/>
        </w:rPr>
        <w:t xml:space="preserve">Allzweckleuchte </w:t>
      </w:r>
      <w:r>
        <w:rPr>
          <w:iCs/>
          <w:lang w:val="de-DE"/>
        </w:rPr>
        <w:t xml:space="preserve">bietet </w:t>
      </w:r>
      <w:r w:rsidRPr="00370F82">
        <w:rPr>
          <w:iCs/>
          <w:lang w:val="de-DE"/>
        </w:rPr>
        <w:t>alle</w:t>
      </w:r>
      <w:r>
        <w:rPr>
          <w:iCs/>
          <w:lang w:val="de-DE"/>
        </w:rPr>
        <w:t xml:space="preserve"> </w:t>
      </w:r>
      <w:r w:rsidRPr="00370F82">
        <w:rPr>
          <w:iCs/>
          <w:lang w:val="de-DE"/>
        </w:rPr>
        <w:t>Vortei</w:t>
      </w:r>
      <w:r>
        <w:rPr>
          <w:iCs/>
          <w:lang w:val="de-DE"/>
        </w:rPr>
        <w:t>le</w:t>
      </w:r>
      <w:r w:rsidRPr="00370F82">
        <w:rPr>
          <w:iCs/>
          <w:lang w:val="de-DE"/>
        </w:rPr>
        <w:t xml:space="preserve"> </w:t>
      </w:r>
      <w:r>
        <w:rPr>
          <w:iCs/>
          <w:lang w:val="de-DE"/>
        </w:rPr>
        <w:t xml:space="preserve">und das volle Anwendungsspektrum </w:t>
      </w:r>
      <w:r w:rsidRPr="00370F82">
        <w:rPr>
          <w:iCs/>
          <w:lang w:val="de-DE"/>
        </w:rPr>
        <w:t xml:space="preserve">von </w:t>
      </w:r>
      <w:r>
        <w:rPr>
          <w:iCs/>
          <w:lang w:val="de-DE"/>
        </w:rPr>
        <w:t>h</w:t>
      </w:r>
      <w:r w:rsidRPr="00370F82">
        <w:rPr>
          <w:iCs/>
          <w:lang w:val="de-DE"/>
        </w:rPr>
        <w:t>ue</w:t>
      </w:r>
      <w:r w:rsidRPr="008F0FB9">
        <w:rPr>
          <w:iCs/>
          <w:lang w:val="de-DE"/>
        </w:rPr>
        <w:t xml:space="preserve"> </w:t>
      </w:r>
      <w:r w:rsidRPr="00370F82">
        <w:rPr>
          <w:iCs/>
          <w:lang w:val="de-DE"/>
        </w:rPr>
        <w:t xml:space="preserve">für </w:t>
      </w:r>
      <w:r>
        <w:rPr>
          <w:iCs/>
          <w:lang w:val="de-DE"/>
        </w:rPr>
        <w:t>Lichts</w:t>
      </w:r>
      <w:r w:rsidRPr="00370F82">
        <w:rPr>
          <w:iCs/>
          <w:lang w:val="de-DE"/>
        </w:rPr>
        <w:t xml:space="preserve">timmung, </w:t>
      </w:r>
      <w:r>
        <w:rPr>
          <w:iCs/>
          <w:lang w:val="de-DE"/>
        </w:rPr>
        <w:t>Wohnambiente und funktionale Tätigkeiten</w:t>
      </w:r>
      <w:r w:rsidRPr="00370F82">
        <w:rPr>
          <w:iCs/>
          <w:lang w:val="de-DE"/>
        </w:rPr>
        <w:t>.</w:t>
      </w:r>
      <w:r>
        <w:rPr>
          <w:iCs/>
          <w:lang w:val="de-DE"/>
        </w:rPr>
        <w:t xml:space="preserve"> Als </w:t>
      </w:r>
      <w:r w:rsidRPr="00370F82">
        <w:rPr>
          <w:iCs/>
          <w:lang w:val="de-DE"/>
        </w:rPr>
        <w:t>Lichtquelle</w:t>
      </w:r>
      <w:r>
        <w:rPr>
          <w:iCs/>
          <w:lang w:val="de-DE"/>
        </w:rPr>
        <w:t xml:space="preserve"> dienen zwei direkt in die Leuchte integrierte und übereinander angeordnete</w:t>
      </w:r>
      <w:r w:rsidRPr="00370F82">
        <w:rPr>
          <w:iCs/>
          <w:lang w:val="de-DE"/>
        </w:rPr>
        <w:t xml:space="preserve"> </w:t>
      </w:r>
      <w:r>
        <w:rPr>
          <w:iCs/>
          <w:lang w:val="de-DE"/>
        </w:rPr>
        <w:t>LED-Module. Diese lassen sich ko</w:t>
      </w:r>
      <w:r>
        <w:rPr>
          <w:iCs/>
          <w:lang w:val="de-DE"/>
        </w:rPr>
        <w:t>m</w:t>
      </w:r>
      <w:r>
        <w:rPr>
          <w:iCs/>
          <w:lang w:val="de-DE"/>
        </w:rPr>
        <w:t xml:space="preserve">biniert oder </w:t>
      </w:r>
      <w:r w:rsidRPr="00370F82">
        <w:rPr>
          <w:iCs/>
          <w:lang w:val="de-DE"/>
        </w:rPr>
        <w:t>unabhängi</w:t>
      </w:r>
      <w:r>
        <w:rPr>
          <w:iCs/>
          <w:lang w:val="de-DE"/>
        </w:rPr>
        <w:t>g voneinander</w:t>
      </w:r>
      <w:r w:rsidRPr="00370F82">
        <w:rPr>
          <w:iCs/>
          <w:lang w:val="de-DE"/>
        </w:rPr>
        <w:t xml:space="preserve"> </w:t>
      </w:r>
      <w:r>
        <w:rPr>
          <w:iCs/>
          <w:lang w:val="de-DE"/>
        </w:rPr>
        <w:t>steuern, wahlweise per h</w:t>
      </w:r>
      <w:r w:rsidRPr="00370F82">
        <w:rPr>
          <w:iCs/>
          <w:lang w:val="de-DE"/>
        </w:rPr>
        <w:t>ue</w:t>
      </w:r>
      <w:r>
        <w:rPr>
          <w:iCs/>
          <w:lang w:val="de-DE"/>
        </w:rPr>
        <w:t>-App oder mittels des tran</w:t>
      </w:r>
      <w:r>
        <w:rPr>
          <w:iCs/>
          <w:lang w:val="de-DE"/>
        </w:rPr>
        <w:t>s</w:t>
      </w:r>
      <w:r>
        <w:rPr>
          <w:iCs/>
          <w:lang w:val="de-DE"/>
        </w:rPr>
        <w:t xml:space="preserve">portablen Lichtschalters </w:t>
      </w:r>
      <w:hyperlink r:id="rId11" w:history="1">
        <w:r w:rsidRPr="008147A6">
          <w:rPr>
            <w:rStyle w:val="Hyperlink"/>
            <w:iCs/>
            <w:lang w:val="de-DE"/>
          </w:rPr>
          <w:t>hue tap</w:t>
        </w:r>
      </w:hyperlink>
      <w:r>
        <w:rPr>
          <w:iCs/>
          <w:lang w:val="de-DE"/>
        </w:rPr>
        <w:t xml:space="preserve">. Mit ihren zwei Lichtquellen eröffnet hue </w:t>
      </w:r>
      <w:proofErr w:type="spellStart"/>
      <w:r>
        <w:rPr>
          <w:iCs/>
          <w:lang w:val="de-DE"/>
        </w:rPr>
        <w:t>Beyond</w:t>
      </w:r>
      <w:proofErr w:type="spellEnd"/>
      <w:r>
        <w:rPr>
          <w:iCs/>
          <w:lang w:val="de-DE"/>
        </w:rPr>
        <w:t xml:space="preserve"> nahezu unbegrenzte Möglichkeiten, </w:t>
      </w:r>
      <w:r w:rsidRPr="00370F82">
        <w:rPr>
          <w:iCs/>
          <w:lang w:val="de-DE"/>
        </w:rPr>
        <w:t>individuell</w:t>
      </w:r>
      <w:r>
        <w:rPr>
          <w:iCs/>
          <w:lang w:val="de-DE"/>
        </w:rPr>
        <w:t>e</w:t>
      </w:r>
      <w:r w:rsidRPr="00370F82">
        <w:rPr>
          <w:iCs/>
          <w:lang w:val="de-DE"/>
        </w:rPr>
        <w:t xml:space="preserve"> Lichtszen</w:t>
      </w:r>
      <w:r>
        <w:rPr>
          <w:iCs/>
          <w:lang w:val="de-DE"/>
        </w:rPr>
        <w:t xml:space="preserve">arien </w:t>
      </w:r>
      <w:r w:rsidRPr="00370F82">
        <w:rPr>
          <w:iCs/>
          <w:lang w:val="de-DE"/>
        </w:rPr>
        <w:t xml:space="preserve">zu </w:t>
      </w:r>
      <w:r>
        <w:rPr>
          <w:iCs/>
          <w:lang w:val="de-DE"/>
        </w:rPr>
        <w:t>gestalten.</w:t>
      </w:r>
    </w:p>
    <w:p w:rsidR="00965474" w:rsidRPr="00965474" w:rsidRDefault="00965474" w:rsidP="00965474">
      <w:pPr>
        <w:pStyle w:val="KeinLeerraum"/>
        <w:rPr>
          <w:lang w:val="de-DE"/>
        </w:rPr>
      </w:pPr>
    </w:p>
    <w:p w:rsidR="00965474" w:rsidRPr="00965474" w:rsidRDefault="00965474" w:rsidP="00965474">
      <w:pPr>
        <w:contextualSpacing/>
        <w:rPr>
          <w:rFonts w:cs="Calibri"/>
          <w:b/>
          <w:szCs w:val="22"/>
          <w:lang w:val="de-DE"/>
        </w:rPr>
      </w:pPr>
      <w:r w:rsidRPr="00965474">
        <w:rPr>
          <w:rFonts w:cs="Calibri"/>
          <w:b/>
          <w:szCs w:val="22"/>
          <w:lang w:val="de-DE"/>
        </w:rPr>
        <w:t>Verdoppeltes hue-Erlebnis</w:t>
      </w:r>
    </w:p>
    <w:p w:rsidR="00965474" w:rsidRPr="00965474" w:rsidRDefault="00965474" w:rsidP="00965474">
      <w:pPr>
        <w:contextualSpacing/>
        <w:rPr>
          <w:rFonts w:cs="Calibri"/>
          <w:szCs w:val="22"/>
          <w:lang w:val="de-DE"/>
        </w:rPr>
      </w:pPr>
      <w:r w:rsidRPr="00965474">
        <w:rPr>
          <w:rFonts w:cs="Calibri"/>
          <w:szCs w:val="22"/>
          <w:lang w:val="de-DE"/>
        </w:rPr>
        <w:t xml:space="preserve">Philips hue </w:t>
      </w:r>
      <w:proofErr w:type="spellStart"/>
      <w:r w:rsidRPr="00965474">
        <w:rPr>
          <w:rFonts w:cs="Calibri"/>
          <w:szCs w:val="22"/>
          <w:lang w:val="de-DE"/>
        </w:rPr>
        <w:t>Beyond</w:t>
      </w:r>
      <w:proofErr w:type="spellEnd"/>
      <w:r w:rsidRPr="00965474">
        <w:rPr>
          <w:rFonts w:cs="Calibri"/>
          <w:szCs w:val="22"/>
          <w:lang w:val="de-DE"/>
        </w:rPr>
        <w:t xml:space="preserve"> verfügt über gleich zwei voneinander getrennte Lichtquellen, direkt und indirekt abstrahlend. Z</w:t>
      </w:r>
      <w:r w:rsidRPr="00965474">
        <w:rPr>
          <w:rFonts w:cs="Calibri"/>
          <w:szCs w:val="22"/>
          <w:lang w:val="de-DE"/>
        </w:rPr>
        <w:t>u</w:t>
      </w:r>
      <w:r w:rsidRPr="00965474">
        <w:rPr>
          <w:rFonts w:cs="Calibri"/>
          <w:szCs w:val="22"/>
          <w:lang w:val="de-DE"/>
        </w:rPr>
        <w:t>sammen oder unabhängig voneinander können diese z</w:t>
      </w:r>
      <w:r w:rsidRPr="00965474">
        <w:rPr>
          <w:rFonts w:cs="Calibri"/>
          <w:szCs w:val="22"/>
          <w:lang w:val="de-DE"/>
        </w:rPr>
        <w:t>u</w:t>
      </w:r>
      <w:r w:rsidRPr="00965474">
        <w:rPr>
          <w:rFonts w:cs="Calibri"/>
          <w:szCs w:val="22"/>
          <w:lang w:val="de-DE"/>
        </w:rPr>
        <w:t xml:space="preserve">gleich eine stimmungsvolle Umgebungsbeleuchtung als auch ein zweckmäßiges weißes Licht erzeugen. Hochwertiges, einstellbares Weißlicht zum Lesen und Arbeiten steht damit ebenso zur Verfügung wie stimmungsvoll farbiges Ambiente-Licht für entspannende Abende. Farben und die Lichtstärke lassen sich für beide Lichtquellen individuell einstellen und nach Belieben kombinieren. Dank ihrer einzigartigen Doppelfunktionalität erweitert hue </w:t>
      </w:r>
      <w:proofErr w:type="spellStart"/>
      <w:r w:rsidRPr="00965474">
        <w:rPr>
          <w:rFonts w:cs="Calibri"/>
          <w:szCs w:val="22"/>
          <w:lang w:val="de-DE"/>
        </w:rPr>
        <w:t>Beyond</w:t>
      </w:r>
      <w:proofErr w:type="spellEnd"/>
      <w:r w:rsidRPr="00965474">
        <w:rPr>
          <w:rFonts w:cs="Calibri"/>
          <w:szCs w:val="22"/>
          <w:lang w:val="de-DE"/>
        </w:rPr>
        <w:t xml:space="preserve"> die Gesta</w:t>
      </w:r>
      <w:r w:rsidRPr="00965474">
        <w:rPr>
          <w:rFonts w:cs="Calibri"/>
          <w:szCs w:val="22"/>
          <w:lang w:val="de-DE"/>
        </w:rPr>
        <w:t>l</w:t>
      </w:r>
      <w:r w:rsidRPr="00965474">
        <w:rPr>
          <w:rFonts w:cs="Calibri"/>
          <w:szCs w:val="22"/>
          <w:lang w:val="de-DE"/>
        </w:rPr>
        <w:t xml:space="preserve">tungsmöglichkeiten von Licht und lässt sich im Handumdrehen auf wechselnde Tätigkeiten anpassen. </w:t>
      </w:r>
    </w:p>
    <w:p w:rsidR="00965474" w:rsidRPr="00965474" w:rsidRDefault="00965474" w:rsidP="00965474">
      <w:pPr>
        <w:contextualSpacing/>
        <w:rPr>
          <w:szCs w:val="22"/>
          <w:lang w:val="de-DE"/>
        </w:rPr>
      </w:pPr>
    </w:p>
    <w:p w:rsidR="00965474" w:rsidRPr="00A05230" w:rsidRDefault="00965474" w:rsidP="00965474">
      <w:pPr>
        <w:pStyle w:val="KeinLeerraum"/>
        <w:rPr>
          <w:b/>
          <w:lang w:val="de-DE"/>
        </w:rPr>
      </w:pPr>
      <w:r w:rsidRPr="00662ED8">
        <w:rPr>
          <w:b/>
          <w:lang w:val="de-DE"/>
        </w:rPr>
        <w:t>Das ultimative Lichterlebnis</w:t>
      </w:r>
      <w:r w:rsidRPr="00A05230">
        <w:rPr>
          <w:b/>
          <w:lang w:val="de-DE"/>
        </w:rPr>
        <w:t xml:space="preserve"> </w:t>
      </w:r>
    </w:p>
    <w:p w:rsidR="00965474" w:rsidRPr="00A05230" w:rsidRDefault="00965474" w:rsidP="00965474">
      <w:pPr>
        <w:pStyle w:val="KeinLeerraum"/>
        <w:rPr>
          <w:lang w:val="de-DE"/>
        </w:rPr>
      </w:pPr>
      <w:r w:rsidRPr="00893A26">
        <w:rPr>
          <w:lang w:val="de-DE"/>
        </w:rPr>
        <w:t xml:space="preserve">Hue </w:t>
      </w:r>
      <w:proofErr w:type="spellStart"/>
      <w:r w:rsidRPr="00893A26">
        <w:rPr>
          <w:lang w:val="de-DE"/>
        </w:rPr>
        <w:t>Beyond</w:t>
      </w:r>
      <w:proofErr w:type="spellEnd"/>
      <w:r w:rsidRPr="00893A26">
        <w:rPr>
          <w:lang w:val="de-DE"/>
        </w:rPr>
        <w:t xml:space="preserve"> verfügt innerhalb der </w:t>
      </w:r>
      <w:r>
        <w:rPr>
          <w:lang w:val="de-DE"/>
        </w:rPr>
        <w:t>h</w:t>
      </w:r>
      <w:r w:rsidRPr="00893A26">
        <w:rPr>
          <w:lang w:val="de-DE"/>
        </w:rPr>
        <w:t>ue</w:t>
      </w:r>
      <w:r>
        <w:rPr>
          <w:lang w:val="de-DE"/>
        </w:rPr>
        <w:t>-</w:t>
      </w:r>
      <w:r w:rsidRPr="00893A26">
        <w:rPr>
          <w:lang w:val="de-DE"/>
        </w:rPr>
        <w:t xml:space="preserve">App über eine eigene Schnittstelle für die intuitive </w:t>
      </w:r>
      <w:r>
        <w:rPr>
          <w:lang w:val="de-DE"/>
        </w:rPr>
        <w:t xml:space="preserve">Auswahl </w:t>
      </w:r>
      <w:r w:rsidRPr="00893A26">
        <w:rPr>
          <w:lang w:val="de-DE"/>
        </w:rPr>
        <w:t>vordefinierte</w:t>
      </w:r>
      <w:r>
        <w:rPr>
          <w:lang w:val="de-DE"/>
        </w:rPr>
        <w:t>r</w:t>
      </w:r>
      <w:r w:rsidRPr="00893A26">
        <w:rPr>
          <w:lang w:val="de-DE"/>
        </w:rPr>
        <w:t xml:space="preserve"> Beleuchtungsthemen</w:t>
      </w:r>
      <w:r>
        <w:rPr>
          <w:lang w:val="de-DE"/>
        </w:rPr>
        <w:t xml:space="preserve">. Auch </w:t>
      </w:r>
      <w:r w:rsidRPr="00893A26">
        <w:rPr>
          <w:lang w:val="de-DE"/>
        </w:rPr>
        <w:t>alle</w:t>
      </w:r>
      <w:r>
        <w:rPr>
          <w:lang w:val="de-DE"/>
        </w:rPr>
        <w:t xml:space="preserve"> anderen F</w:t>
      </w:r>
      <w:r w:rsidRPr="00893A26">
        <w:rPr>
          <w:lang w:val="de-DE"/>
        </w:rPr>
        <w:t xml:space="preserve">unktionen von </w:t>
      </w:r>
      <w:r>
        <w:rPr>
          <w:lang w:val="de-DE"/>
        </w:rPr>
        <w:t>h</w:t>
      </w:r>
      <w:r w:rsidRPr="00893A26">
        <w:rPr>
          <w:lang w:val="de-DE"/>
        </w:rPr>
        <w:t>ue</w:t>
      </w:r>
      <w:r>
        <w:rPr>
          <w:lang w:val="de-DE"/>
        </w:rPr>
        <w:t xml:space="preserve"> stehen dabei zur Verfügung: Von </w:t>
      </w:r>
      <w:r w:rsidRPr="00893A26">
        <w:rPr>
          <w:lang w:val="de-DE"/>
        </w:rPr>
        <w:t>Lichtrezepte</w:t>
      </w:r>
      <w:r>
        <w:rPr>
          <w:lang w:val="de-DE"/>
        </w:rPr>
        <w:t xml:space="preserve">n über die </w:t>
      </w:r>
      <w:r w:rsidRPr="00893A26">
        <w:rPr>
          <w:lang w:val="de-DE"/>
        </w:rPr>
        <w:t xml:space="preserve">Anpassung </w:t>
      </w:r>
      <w:r>
        <w:rPr>
          <w:lang w:val="de-DE"/>
        </w:rPr>
        <w:t xml:space="preserve">der Beleuchtung an die </w:t>
      </w:r>
      <w:r w:rsidRPr="00893A26">
        <w:rPr>
          <w:lang w:val="de-DE"/>
        </w:rPr>
        <w:t>Far</w:t>
      </w:r>
      <w:r w:rsidRPr="00893A26">
        <w:rPr>
          <w:lang w:val="de-DE"/>
        </w:rPr>
        <w:t>b</w:t>
      </w:r>
      <w:r>
        <w:rPr>
          <w:lang w:val="de-DE"/>
        </w:rPr>
        <w:t>stimmung, von eigenen Fotos</w:t>
      </w:r>
      <w:r w:rsidRPr="00893A26">
        <w:rPr>
          <w:lang w:val="de-DE"/>
        </w:rPr>
        <w:t xml:space="preserve"> </w:t>
      </w:r>
      <w:r>
        <w:rPr>
          <w:lang w:val="de-DE"/>
        </w:rPr>
        <w:t xml:space="preserve">bis hin zu den erweiterten Funktionen von mittlerweile mehr als </w:t>
      </w:r>
      <w:r w:rsidRPr="00893A26">
        <w:rPr>
          <w:lang w:val="de-DE"/>
        </w:rPr>
        <w:t xml:space="preserve">190 </w:t>
      </w:r>
      <w:r>
        <w:rPr>
          <w:lang w:val="de-DE"/>
        </w:rPr>
        <w:t>hue-</w:t>
      </w:r>
      <w:r w:rsidRPr="00893A26">
        <w:rPr>
          <w:lang w:val="de-DE"/>
        </w:rPr>
        <w:t>Apps.</w:t>
      </w:r>
      <w:r w:rsidRPr="00A05230">
        <w:rPr>
          <w:lang w:val="de-DE"/>
        </w:rPr>
        <w:t xml:space="preserve"> </w:t>
      </w:r>
      <w:r w:rsidRPr="00893A26">
        <w:rPr>
          <w:lang w:val="de-DE"/>
        </w:rPr>
        <w:t xml:space="preserve">Ob </w:t>
      </w:r>
      <w:r>
        <w:rPr>
          <w:lang w:val="de-DE"/>
        </w:rPr>
        <w:t xml:space="preserve">zum </w:t>
      </w:r>
      <w:r w:rsidRPr="00893A26">
        <w:rPr>
          <w:lang w:val="de-DE"/>
        </w:rPr>
        <w:t xml:space="preserve">Energie tanken </w:t>
      </w:r>
      <w:r>
        <w:rPr>
          <w:lang w:val="de-DE"/>
        </w:rPr>
        <w:t xml:space="preserve">oder Entspannen lässt sich die </w:t>
      </w:r>
      <w:r w:rsidRPr="00893A26">
        <w:rPr>
          <w:lang w:val="de-DE"/>
        </w:rPr>
        <w:t xml:space="preserve">Beleuchtung mit </w:t>
      </w:r>
      <w:r>
        <w:rPr>
          <w:lang w:val="de-DE"/>
        </w:rPr>
        <w:t>aktivi</w:t>
      </w:r>
      <w:r>
        <w:rPr>
          <w:lang w:val="de-DE"/>
        </w:rPr>
        <w:t>e</w:t>
      </w:r>
      <w:r>
        <w:rPr>
          <w:lang w:val="de-DE"/>
        </w:rPr>
        <w:t>renden Lichteffekten und Musik</w:t>
      </w:r>
      <w:r w:rsidRPr="00893A26">
        <w:rPr>
          <w:lang w:val="de-DE"/>
        </w:rPr>
        <w:t>, oder mit sanften Abendlichteffekten</w:t>
      </w:r>
      <w:r>
        <w:rPr>
          <w:lang w:val="de-DE"/>
        </w:rPr>
        <w:t xml:space="preserve"> individuell vernetzen und gestalten. </w:t>
      </w:r>
      <w:r w:rsidRPr="00893A26">
        <w:rPr>
          <w:lang w:val="de-DE"/>
        </w:rPr>
        <w:t xml:space="preserve">Hue </w:t>
      </w:r>
      <w:proofErr w:type="spellStart"/>
      <w:r w:rsidRPr="00893A26">
        <w:rPr>
          <w:lang w:val="de-DE"/>
        </w:rPr>
        <w:t>Beyond</w:t>
      </w:r>
      <w:proofErr w:type="spellEnd"/>
      <w:r w:rsidRPr="00893A26">
        <w:rPr>
          <w:lang w:val="de-DE"/>
        </w:rPr>
        <w:t xml:space="preserve"> ist eine multifunktionale Leuchte, die</w:t>
      </w:r>
      <w:r>
        <w:rPr>
          <w:lang w:val="de-DE"/>
        </w:rPr>
        <w:t xml:space="preserve"> hochwertiges Licht</w:t>
      </w:r>
      <w:r w:rsidRPr="00893A26">
        <w:rPr>
          <w:lang w:val="de-DE"/>
        </w:rPr>
        <w:t xml:space="preserve"> </w:t>
      </w:r>
      <w:r>
        <w:rPr>
          <w:lang w:val="de-DE"/>
        </w:rPr>
        <w:t>und inte</w:t>
      </w:r>
      <w:r>
        <w:rPr>
          <w:lang w:val="de-DE"/>
        </w:rPr>
        <w:t>l</w:t>
      </w:r>
      <w:r>
        <w:rPr>
          <w:lang w:val="de-DE"/>
        </w:rPr>
        <w:t xml:space="preserve">ligente Möglichkeiten zur Vernetzung und Steuerung </w:t>
      </w:r>
      <w:r w:rsidRPr="00893A26">
        <w:rPr>
          <w:lang w:val="de-DE"/>
        </w:rPr>
        <w:t xml:space="preserve">nutzt, um </w:t>
      </w:r>
      <w:r>
        <w:rPr>
          <w:lang w:val="de-DE"/>
        </w:rPr>
        <w:t xml:space="preserve">das persönliche Wohnumfeld </w:t>
      </w:r>
      <w:r w:rsidRPr="00893A26">
        <w:rPr>
          <w:lang w:val="de-DE"/>
        </w:rPr>
        <w:lastRenderedPageBreak/>
        <w:t>im Handumdrehen</w:t>
      </w:r>
      <w:r>
        <w:rPr>
          <w:lang w:val="de-DE"/>
        </w:rPr>
        <w:t xml:space="preserve"> an die eigene Stimmung und verschiedene Anlässe anzupa</w:t>
      </w:r>
      <w:r>
        <w:rPr>
          <w:lang w:val="de-DE"/>
        </w:rPr>
        <w:t>s</w:t>
      </w:r>
      <w:r>
        <w:rPr>
          <w:lang w:val="de-DE"/>
        </w:rPr>
        <w:t>sen</w:t>
      </w:r>
      <w:r w:rsidRPr="00893A26">
        <w:rPr>
          <w:lang w:val="de-DE"/>
        </w:rPr>
        <w:t>.</w:t>
      </w:r>
      <w:r w:rsidRPr="00A05230">
        <w:rPr>
          <w:lang w:val="de-DE"/>
        </w:rPr>
        <w:t xml:space="preserve"> </w:t>
      </w:r>
    </w:p>
    <w:p w:rsidR="00965474" w:rsidRPr="00965474" w:rsidRDefault="00965474" w:rsidP="00965474">
      <w:pPr>
        <w:pStyle w:val="KeinLeerraum"/>
        <w:rPr>
          <w:b/>
          <w:lang w:val="de-DE"/>
        </w:rPr>
      </w:pPr>
    </w:p>
    <w:p w:rsidR="00965474" w:rsidRPr="00965474" w:rsidRDefault="00965474" w:rsidP="00965474">
      <w:pPr>
        <w:pStyle w:val="KeinLeerraum"/>
        <w:rPr>
          <w:b/>
          <w:lang w:val="de-DE"/>
        </w:rPr>
      </w:pPr>
      <w:r w:rsidRPr="00965474">
        <w:rPr>
          <w:b/>
          <w:lang w:val="de-DE"/>
        </w:rPr>
        <w:t>Das Design</w:t>
      </w:r>
    </w:p>
    <w:p w:rsidR="00965474" w:rsidRDefault="00965474" w:rsidP="00965474">
      <w:pPr>
        <w:pStyle w:val="KeinLeerraum"/>
        <w:rPr>
          <w:lang w:val="de-DE"/>
        </w:rPr>
      </w:pPr>
      <w:r w:rsidRPr="00965474">
        <w:rPr>
          <w:lang w:val="de-DE"/>
        </w:rPr>
        <w:t xml:space="preserve">Hue </w:t>
      </w:r>
      <w:proofErr w:type="spellStart"/>
      <w:r w:rsidRPr="00965474">
        <w:rPr>
          <w:lang w:val="de-DE"/>
        </w:rPr>
        <w:t>Beyond</w:t>
      </w:r>
      <w:proofErr w:type="spellEnd"/>
      <w:r w:rsidRPr="00965474">
        <w:rPr>
          <w:lang w:val="de-DE"/>
        </w:rPr>
        <w:t xml:space="preserve"> ermöglicht ein besonders innovatives Lichtdesign. Die Leuchte zeigt, wie vielfältig Licht genutzt, kombiniert und gesteuert werden kann, um intensive Farben und erstaunliche Farbverläufe zu erzeugen oder funktionelles Weißlicht per Fingertipp mit der Akzentbeleuc</w:t>
      </w:r>
      <w:r w:rsidRPr="00965474">
        <w:rPr>
          <w:lang w:val="de-DE"/>
        </w:rPr>
        <w:t>h</w:t>
      </w:r>
      <w:r w:rsidRPr="00965474">
        <w:rPr>
          <w:lang w:val="de-DE"/>
        </w:rPr>
        <w:t xml:space="preserve">tung zu verknüpfen. Das satinierte Glas des unteren, großen </w:t>
      </w:r>
      <w:proofErr w:type="spellStart"/>
      <w:r w:rsidRPr="00965474">
        <w:rPr>
          <w:lang w:val="de-DE"/>
        </w:rPr>
        <w:t>Leuchtenschirms</w:t>
      </w:r>
      <w:proofErr w:type="spellEnd"/>
      <w:r w:rsidRPr="00965474">
        <w:rPr>
          <w:lang w:val="de-DE"/>
        </w:rPr>
        <w:t xml:space="preserve"> fängt einen Teil des abwärts gerichteten Lichts und streut dieses weich in die Umgebung – während das Licht des aufwärts strahlenden Moduls von dem oberen, kleineren Leuchtschirm aus Aluminium reflektiert wird, um diskret an der Lichtfuge zwischen den beiden Abdeckungen auszutreten. Diese doppelte, durch eine Silhouette aus zwei Kugelabschnitten charakterisierte Lichtquelle fügt sich harmonisch und dezent in nahezu jede Wohnumgebung ein. Die Philips hue </w:t>
      </w:r>
      <w:proofErr w:type="spellStart"/>
      <w:r w:rsidRPr="00965474">
        <w:rPr>
          <w:lang w:val="de-DE"/>
        </w:rPr>
        <w:t>Beyound</w:t>
      </w:r>
      <w:proofErr w:type="spellEnd"/>
      <w:r w:rsidRPr="00965474">
        <w:rPr>
          <w:lang w:val="de-DE"/>
        </w:rPr>
        <w:t xml:space="preserve"> besitzt alle Attribute, um zu einem Design-Klassiker der vernetzten LED-Beleuchtung zu werden. Mit ihren Ausprägungen als Tisch-, Pendel- und Deckenleuchte lässt sie sich in allen Wohnbereichen einsetzen und an die unterschiedlichsten Bedürfnisse, Anlässe und Räume individuell anpassen.</w:t>
      </w:r>
    </w:p>
    <w:p w:rsidR="00915884" w:rsidRPr="00965474" w:rsidRDefault="00915884" w:rsidP="00965474">
      <w:pPr>
        <w:pStyle w:val="KeinLeerraum"/>
        <w:rPr>
          <w:lang w:val="de-DE"/>
        </w:rPr>
      </w:pPr>
    </w:p>
    <w:tbl>
      <w:tblPr>
        <w:tblW w:w="0" w:type="auto"/>
        <w:tblCellMar>
          <w:left w:w="0" w:type="dxa"/>
          <w:right w:w="0" w:type="dxa"/>
        </w:tblCellMar>
        <w:tblLook w:val="04A0" w:firstRow="1" w:lastRow="0" w:firstColumn="1" w:lastColumn="0" w:noHBand="0" w:noVBand="1"/>
      </w:tblPr>
      <w:tblGrid>
        <w:gridCol w:w="2863"/>
        <w:gridCol w:w="2895"/>
        <w:gridCol w:w="2895"/>
      </w:tblGrid>
      <w:tr w:rsidR="00915884" w:rsidTr="00915884">
        <w:tc>
          <w:tcPr>
            <w:tcW w:w="2863" w:type="dxa"/>
            <w:shd w:val="clear" w:color="auto" w:fill="FFFFFF" w:themeFill="background1"/>
            <w:tcMar>
              <w:top w:w="0" w:type="dxa"/>
              <w:left w:w="108" w:type="dxa"/>
              <w:bottom w:w="0" w:type="dxa"/>
              <w:right w:w="108" w:type="dxa"/>
            </w:tcMar>
            <w:hideMark/>
          </w:tcPr>
          <w:p w:rsidR="00915884" w:rsidRPr="00915884" w:rsidRDefault="00915884">
            <w:pPr>
              <w:spacing w:line="276" w:lineRule="auto"/>
              <w:jc w:val="center"/>
              <w:rPr>
                <w:rFonts w:eastAsia="Calibri" w:cs="Calibri"/>
                <w:b/>
                <w:bCs/>
                <w:color w:val="000000"/>
                <w:szCs w:val="22"/>
                <w:lang w:eastAsia="en-GB"/>
              </w:rPr>
            </w:pPr>
            <w:bookmarkStart w:id="0" w:name="_GoBack"/>
            <w:bookmarkEnd w:id="0"/>
            <w:r w:rsidRPr="00915884">
              <w:rPr>
                <w:rFonts w:cs="Calibri"/>
                <w:b/>
                <w:bCs/>
                <w:szCs w:val="22"/>
              </w:rPr>
              <w:t>Hue Beyond – Table Light</w:t>
            </w:r>
          </w:p>
        </w:tc>
        <w:tc>
          <w:tcPr>
            <w:tcW w:w="2895" w:type="dxa"/>
            <w:shd w:val="clear" w:color="auto" w:fill="FFFFFF" w:themeFill="background1"/>
            <w:tcMar>
              <w:top w:w="0" w:type="dxa"/>
              <w:left w:w="108" w:type="dxa"/>
              <w:bottom w:w="0" w:type="dxa"/>
              <w:right w:w="108" w:type="dxa"/>
            </w:tcMar>
            <w:hideMark/>
          </w:tcPr>
          <w:p w:rsidR="00915884" w:rsidRPr="00915884" w:rsidRDefault="00915884">
            <w:pPr>
              <w:spacing w:line="276" w:lineRule="auto"/>
              <w:jc w:val="center"/>
              <w:rPr>
                <w:rFonts w:eastAsia="Calibri" w:cs="Calibri"/>
                <w:b/>
                <w:bCs/>
                <w:color w:val="000000"/>
                <w:szCs w:val="22"/>
                <w:lang w:eastAsia="en-GB"/>
              </w:rPr>
            </w:pPr>
            <w:r w:rsidRPr="00915884">
              <w:rPr>
                <w:rFonts w:cs="Calibri"/>
                <w:b/>
                <w:bCs/>
                <w:szCs w:val="22"/>
              </w:rPr>
              <w:t>Hue Beyond – Ceiling Light</w:t>
            </w:r>
          </w:p>
        </w:tc>
        <w:tc>
          <w:tcPr>
            <w:tcW w:w="2895" w:type="dxa"/>
            <w:shd w:val="clear" w:color="auto" w:fill="FFFFFF" w:themeFill="background1"/>
            <w:tcMar>
              <w:top w:w="0" w:type="dxa"/>
              <w:left w:w="108" w:type="dxa"/>
              <w:bottom w:w="0" w:type="dxa"/>
              <w:right w:w="108" w:type="dxa"/>
            </w:tcMar>
            <w:hideMark/>
          </w:tcPr>
          <w:p w:rsidR="00915884" w:rsidRPr="00915884" w:rsidRDefault="00915884">
            <w:pPr>
              <w:spacing w:line="276" w:lineRule="auto"/>
              <w:jc w:val="center"/>
              <w:rPr>
                <w:rFonts w:eastAsia="Calibri" w:cs="Calibri"/>
                <w:b/>
                <w:bCs/>
                <w:color w:val="000000"/>
                <w:szCs w:val="22"/>
                <w:lang w:eastAsia="en-GB"/>
              </w:rPr>
            </w:pPr>
            <w:r w:rsidRPr="00915884">
              <w:rPr>
                <w:rFonts w:cs="Calibri"/>
                <w:b/>
                <w:bCs/>
                <w:szCs w:val="22"/>
              </w:rPr>
              <w:t>Hue Beyond – Pendant Light</w:t>
            </w:r>
          </w:p>
        </w:tc>
      </w:tr>
      <w:tr w:rsidR="00915884" w:rsidTr="00915884">
        <w:tc>
          <w:tcPr>
            <w:tcW w:w="2863" w:type="dxa"/>
            <w:shd w:val="clear" w:color="auto" w:fill="FFFFFF" w:themeFill="background1"/>
            <w:tcMar>
              <w:top w:w="0" w:type="dxa"/>
              <w:left w:w="108" w:type="dxa"/>
              <w:bottom w:w="0" w:type="dxa"/>
              <w:right w:w="108" w:type="dxa"/>
            </w:tcMar>
            <w:hideMark/>
          </w:tcPr>
          <w:p w:rsidR="00915884" w:rsidRPr="00915884" w:rsidRDefault="00915884">
            <w:pPr>
              <w:spacing w:line="276" w:lineRule="auto"/>
              <w:jc w:val="center"/>
              <w:rPr>
                <w:rFonts w:eastAsia="Calibri" w:cs="Calibri"/>
                <w:color w:val="000000"/>
                <w:szCs w:val="22"/>
                <w:lang w:val="en-GB" w:eastAsia="en-GB"/>
              </w:rPr>
            </w:pPr>
            <w:r w:rsidRPr="00915884">
              <w:rPr>
                <w:rFonts w:cs="Calibri"/>
                <w:szCs w:val="22"/>
              </w:rPr>
              <w:t>9</w:t>
            </w:r>
            <w:r w:rsidRPr="00915884">
              <w:rPr>
                <w:rFonts w:cs="Calibri"/>
                <w:szCs w:val="22"/>
                <w:lang w:val="en-GB"/>
              </w:rPr>
              <w:t xml:space="preserve">W </w:t>
            </w:r>
            <w:r w:rsidRPr="00915884">
              <w:rPr>
                <w:rFonts w:cs="Calibri"/>
                <w:szCs w:val="22"/>
              </w:rPr>
              <w:t>Hue Light Engine (LED)</w:t>
            </w:r>
          </w:p>
        </w:tc>
        <w:tc>
          <w:tcPr>
            <w:tcW w:w="2895" w:type="dxa"/>
            <w:shd w:val="clear" w:color="auto" w:fill="FFFFFF" w:themeFill="background1"/>
            <w:tcMar>
              <w:top w:w="0" w:type="dxa"/>
              <w:left w:w="108" w:type="dxa"/>
              <w:bottom w:w="0" w:type="dxa"/>
              <w:right w:w="108" w:type="dxa"/>
            </w:tcMar>
            <w:hideMark/>
          </w:tcPr>
          <w:p w:rsidR="00915884" w:rsidRPr="00915884" w:rsidRDefault="00915884">
            <w:pPr>
              <w:spacing w:line="276" w:lineRule="auto"/>
              <w:jc w:val="center"/>
              <w:rPr>
                <w:rFonts w:eastAsia="Calibri" w:cs="Calibri"/>
                <w:color w:val="000000"/>
                <w:szCs w:val="22"/>
                <w:lang w:val="en-GB" w:eastAsia="en-GB"/>
              </w:rPr>
            </w:pPr>
            <w:r w:rsidRPr="00915884">
              <w:rPr>
                <w:rFonts w:cs="Calibri"/>
                <w:szCs w:val="22"/>
              </w:rPr>
              <w:t>18.5</w:t>
            </w:r>
            <w:r w:rsidRPr="00915884">
              <w:rPr>
                <w:rFonts w:cs="Calibri"/>
                <w:szCs w:val="22"/>
                <w:lang w:val="en-GB"/>
              </w:rPr>
              <w:t xml:space="preserve">W </w:t>
            </w:r>
            <w:r w:rsidRPr="00915884">
              <w:rPr>
                <w:rFonts w:cs="Calibri"/>
                <w:szCs w:val="22"/>
              </w:rPr>
              <w:t>Hue Light Engine (LED)</w:t>
            </w:r>
          </w:p>
        </w:tc>
        <w:tc>
          <w:tcPr>
            <w:tcW w:w="2895" w:type="dxa"/>
            <w:shd w:val="clear" w:color="auto" w:fill="FFFFFF" w:themeFill="background1"/>
            <w:tcMar>
              <w:top w:w="0" w:type="dxa"/>
              <w:left w:w="108" w:type="dxa"/>
              <w:bottom w:w="0" w:type="dxa"/>
              <w:right w:w="108" w:type="dxa"/>
            </w:tcMar>
            <w:hideMark/>
          </w:tcPr>
          <w:p w:rsidR="00915884" w:rsidRPr="00915884" w:rsidRDefault="00915884">
            <w:pPr>
              <w:spacing w:line="276" w:lineRule="auto"/>
              <w:jc w:val="center"/>
              <w:rPr>
                <w:rFonts w:eastAsia="Calibri" w:cs="Calibri"/>
                <w:color w:val="000000"/>
                <w:szCs w:val="22"/>
                <w:lang w:val="en-GB" w:eastAsia="en-GB"/>
              </w:rPr>
            </w:pPr>
            <w:r w:rsidRPr="00915884">
              <w:rPr>
                <w:rFonts w:cs="Calibri"/>
                <w:szCs w:val="22"/>
              </w:rPr>
              <w:t>18.5</w:t>
            </w:r>
            <w:r w:rsidRPr="00915884">
              <w:rPr>
                <w:rFonts w:cs="Calibri"/>
                <w:szCs w:val="22"/>
                <w:lang w:val="en-GB"/>
              </w:rPr>
              <w:t xml:space="preserve">W </w:t>
            </w:r>
            <w:r w:rsidRPr="00915884">
              <w:rPr>
                <w:rFonts w:cs="Calibri"/>
                <w:szCs w:val="22"/>
              </w:rPr>
              <w:t>Hue Light Engine (LED)</w:t>
            </w:r>
          </w:p>
        </w:tc>
      </w:tr>
      <w:tr w:rsidR="00915884" w:rsidTr="00915884">
        <w:tc>
          <w:tcPr>
            <w:tcW w:w="2863" w:type="dxa"/>
            <w:shd w:val="clear" w:color="auto" w:fill="FFFFFF" w:themeFill="background1"/>
            <w:tcMar>
              <w:top w:w="0" w:type="dxa"/>
              <w:left w:w="108" w:type="dxa"/>
              <w:bottom w:w="0" w:type="dxa"/>
              <w:right w:w="108" w:type="dxa"/>
            </w:tcMar>
            <w:hideMark/>
          </w:tcPr>
          <w:p w:rsidR="00915884" w:rsidRPr="00915884" w:rsidRDefault="00915884" w:rsidP="00915884">
            <w:pPr>
              <w:pStyle w:val="Listenabsatz"/>
              <w:numPr>
                <w:ilvl w:val="0"/>
                <w:numId w:val="12"/>
              </w:numPr>
              <w:spacing w:line="276" w:lineRule="auto"/>
              <w:rPr>
                <w:rFonts w:cs="Calibri"/>
              </w:rPr>
            </w:pPr>
            <w:r w:rsidRPr="00915884">
              <w:rPr>
                <w:rFonts w:cs="Calibri"/>
                <w:lang w:val="nl-BE"/>
              </w:rPr>
              <w:t xml:space="preserve">600 Im </w:t>
            </w:r>
          </w:p>
        </w:tc>
        <w:tc>
          <w:tcPr>
            <w:tcW w:w="2895" w:type="dxa"/>
            <w:shd w:val="clear" w:color="auto" w:fill="FFFFFF" w:themeFill="background1"/>
            <w:tcMar>
              <w:top w:w="0" w:type="dxa"/>
              <w:left w:w="108" w:type="dxa"/>
              <w:bottom w:w="0" w:type="dxa"/>
              <w:right w:w="108" w:type="dxa"/>
            </w:tcMar>
            <w:hideMark/>
          </w:tcPr>
          <w:p w:rsidR="00915884" w:rsidRPr="00915884" w:rsidRDefault="00915884" w:rsidP="00915884">
            <w:pPr>
              <w:pStyle w:val="Listenabsatz"/>
              <w:numPr>
                <w:ilvl w:val="0"/>
                <w:numId w:val="12"/>
              </w:numPr>
              <w:spacing w:line="276" w:lineRule="auto"/>
              <w:rPr>
                <w:rFonts w:cs="Calibri"/>
              </w:rPr>
            </w:pPr>
            <w:r w:rsidRPr="00915884">
              <w:rPr>
                <w:rFonts w:cs="Calibri"/>
                <w:lang w:val="nl-BE"/>
              </w:rPr>
              <w:t xml:space="preserve">1200 Im </w:t>
            </w:r>
          </w:p>
        </w:tc>
        <w:tc>
          <w:tcPr>
            <w:tcW w:w="2895" w:type="dxa"/>
            <w:shd w:val="clear" w:color="auto" w:fill="FFFFFF" w:themeFill="background1"/>
            <w:tcMar>
              <w:top w:w="0" w:type="dxa"/>
              <w:left w:w="108" w:type="dxa"/>
              <w:bottom w:w="0" w:type="dxa"/>
              <w:right w:w="108" w:type="dxa"/>
            </w:tcMar>
            <w:hideMark/>
          </w:tcPr>
          <w:p w:rsidR="00915884" w:rsidRPr="00915884" w:rsidRDefault="00915884" w:rsidP="00915884">
            <w:pPr>
              <w:pStyle w:val="Listenabsatz"/>
              <w:numPr>
                <w:ilvl w:val="0"/>
                <w:numId w:val="12"/>
              </w:numPr>
              <w:spacing w:line="276" w:lineRule="auto"/>
              <w:rPr>
                <w:rFonts w:cs="Calibri"/>
              </w:rPr>
            </w:pPr>
            <w:r w:rsidRPr="00915884">
              <w:rPr>
                <w:rFonts w:cs="Calibri"/>
                <w:lang w:val="nl-BE"/>
              </w:rPr>
              <w:t xml:space="preserve">1200 Im </w:t>
            </w:r>
          </w:p>
        </w:tc>
      </w:tr>
      <w:tr w:rsidR="00915884" w:rsidTr="00915884">
        <w:tc>
          <w:tcPr>
            <w:tcW w:w="2863" w:type="dxa"/>
            <w:shd w:val="clear" w:color="auto" w:fill="FFFFFF" w:themeFill="background1"/>
            <w:tcMar>
              <w:top w:w="0" w:type="dxa"/>
              <w:left w:w="108" w:type="dxa"/>
              <w:bottom w:w="0" w:type="dxa"/>
              <w:right w:w="108" w:type="dxa"/>
            </w:tcMar>
            <w:hideMark/>
          </w:tcPr>
          <w:p w:rsidR="00915884" w:rsidRPr="00915884" w:rsidRDefault="00915884" w:rsidP="00915884">
            <w:pPr>
              <w:pStyle w:val="Listenabsatz"/>
              <w:numPr>
                <w:ilvl w:val="0"/>
                <w:numId w:val="12"/>
              </w:numPr>
              <w:spacing w:line="276" w:lineRule="auto"/>
              <w:rPr>
                <w:rFonts w:eastAsia="Calibri" w:cs="Calibri"/>
                <w:sz w:val="20"/>
                <w:lang w:val="en-GB"/>
              </w:rPr>
            </w:pPr>
            <w:r w:rsidRPr="00915884">
              <w:rPr>
                <w:rFonts w:cs="Calibri"/>
                <w:lang w:val="nl-BE"/>
              </w:rPr>
              <w:t xml:space="preserve">60 Im/W luminous efficacy </w:t>
            </w:r>
          </w:p>
          <w:p w:rsidR="00915884" w:rsidRPr="00915884" w:rsidRDefault="00915884" w:rsidP="00915884">
            <w:pPr>
              <w:pStyle w:val="Listenabsatz"/>
              <w:numPr>
                <w:ilvl w:val="0"/>
                <w:numId w:val="12"/>
              </w:numPr>
              <w:spacing w:line="276" w:lineRule="auto"/>
              <w:rPr>
                <w:rFonts w:cs="Calibri"/>
                <w:lang w:val="en-GB"/>
              </w:rPr>
            </w:pPr>
            <w:r w:rsidRPr="00915884">
              <w:rPr>
                <w:rFonts w:cs="Calibri"/>
                <w:lang w:val="nl-BE"/>
              </w:rPr>
              <w:t>80 CRI</w:t>
            </w:r>
          </w:p>
        </w:tc>
        <w:tc>
          <w:tcPr>
            <w:tcW w:w="2895" w:type="dxa"/>
            <w:shd w:val="clear" w:color="auto" w:fill="FFFFFF" w:themeFill="background1"/>
            <w:tcMar>
              <w:top w:w="0" w:type="dxa"/>
              <w:left w:w="108" w:type="dxa"/>
              <w:bottom w:w="0" w:type="dxa"/>
              <w:right w:w="108" w:type="dxa"/>
            </w:tcMar>
            <w:hideMark/>
          </w:tcPr>
          <w:p w:rsidR="00915884" w:rsidRPr="00915884" w:rsidRDefault="00915884" w:rsidP="00915884">
            <w:pPr>
              <w:pStyle w:val="Listenabsatz"/>
              <w:numPr>
                <w:ilvl w:val="0"/>
                <w:numId w:val="12"/>
              </w:numPr>
              <w:spacing w:line="276" w:lineRule="auto"/>
              <w:rPr>
                <w:rFonts w:eastAsia="Calibri" w:cs="Calibri"/>
                <w:sz w:val="20"/>
                <w:lang w:val="en-GB"/>
              </w:rPr>
            </w:pPr>
            <w:r w:rsidRPr="00915884">
              <w:rPr>
                <w:rFonts w:cs="Calibri"/>
                <w:lang w:val="nl-BE"/>
              </w:rPr>
              <w:t xml:space="preserve">60 Im/W luminous efficacy </w:t>
            </w:r>
          </w:p>
          <w:p w:rsidR="00915884" w:rsidRPr="00915884" w:rsidRDefault="00915884" w:rsidP="00915884">
            <w:pPr>
              <w:pStyle w:val="Listenabsatz"/>
              <w:numPr>
                <w:ilvl w:val="0"/>
                <w:numId w:val="12"/>
              </w:numPr>
              <w:spacing w:line="276" w:lineRule="auto"/>
              <w:rPr>
                <w:rFonts w:cs="Calibri"/>
                <w:lang w:val="en-GB"/>
              </w:rPr>
            </w:pPr>
            <w:r w:rsidRPr="00915884">
              <w:rPr>
                <w:rFonts w:cs="Calibri"/>
                <w:lang w:val="nl-BE"/>
              </w:rPr>
              <w:t>80 CRI</w:t>
            </w:r>
          </w:p>
        </w:tc>
        <w:tc>
          <w:tcPr>
            <w:tcW w:w="2895" w:type="dxa"/>
            <w:shd w:val="clear" w:color="auto" w:fill="FFFFFF" w:themeFill="background1"/>
            <w:tcMar>
              <w:top w:w="0" w:type="dxa"/>
              <w:left w:w="108" w:type="dxa"/>
              <w:bottom w:w="0" w:type="dxa"/>
              <w:right w:w="108" w:type="dxa"/>
            </w:tcMar>
            <w:hideMark/>
          </w:tcPr>
          <w:p w:rsidR="00915884" w:rsidRPr="00915884" w:rsidRDefault="00915884" w:rsidP="00915884">
            <w:pPr>
              <w:pStyle w:val="Listenabsatz"/>
              <w:numPr>
                <w:ilvl w:val="0"/>
                <w:numId w:val="12"/>
              </w:numPr>
              <w:spacing w:line="276" w:lineRule="auto"/>
              <w:rPr>
                <w:rFonts w:eastAsia="Calibri" w:cs="Calibri"/>
                <w:sz w:val="20"/>
                <w:lang w:val="en-GB"/>
              </w:rPr>
            </w:pPr>
            <w:r w:rsidRPr="00915884">
              <w:rPr>
                <w:rFonts w:cs="Calibri"/>
                <w:lang w:val="nl-BE"/>
              </w:rPr>
              <w:t xml:space="preserve">60 Im/W luminous efficacy </w:t>
            </w:r>
          </w:p>
          <w:p w:rsidR="00915884" w:rsidRPr="00915884" w:rsidRDefault="00915884" w:rsidP="00915884">
            <w:pPr>
              <w:pStyle w:val="Listenabsatz"/>
              <w:numPr>
                <w:ilvl w:val="0"/>
                <w:numId w:val="12"/>
              </w:numPr>
              <w:spacing w:line="276" w:lineRule="auto"/>
              <w:rPr>
                <w:rFonts w:cs="Calibri"/>
                <w:lang w:val="en-GB"/>
              </w:rPr>
            </w:pPr>
            <w:r w:rsidRPr="00915884">
              <w:rPr>
                <w:rFonts w:cs="Calibri"/>
                <w:lang w:val="nl-BE"/>
              </w:rPr>
              <w:t>80 CRI</w:t>
            </w:r>
          </w:p>
        </w:tc>
      </w:tr>
    </w:tbl>
    <w:p w:rsidR="00915884" w:rsidRPr="00965474" w:rsidRDefault="00915884" w:rsidP="00965474">
      <w:pPr>
        <w:rPr>
          <w:rFonts w:cs="Arial"/>
          <w:b/>
          <w:szCs w:val="22"/>
          <w:lang w:val="de-DE"/>
        </w:rPr>
      </w:pPr>
    </w:p>
    <w:p w:rsidR="00965474" w:rsidRPr="00965474" w:rsidRDefault="00965474" w:rsidP="00965474">
      <w:pPr>
        <w:rPr>
          <w:rFonts w:cs="Arial"/>
          <w:b/>
          <w:szCs w:val="22"/>
          <w:lang w:val="de-DE"/>
        </w:rPr>
      </w:pPr>
    </w:p>
    <w:p w:rsidR="00965474" w:rsidRPr="00965474" w:rsidRDefault="00965474" w:rsidP="00965474">
      <w:pPr>
        <w:ind w:right="-567"/>
        <w:rPr>
          <w:rFonts w:cs="Arial"/>
          <w:szCs w:val="22"/>
          <w:u w:val="single"/>
          <w:lang w:val="de-DE"/>
        </w:rPr>
      </w:pPr>
      <w:r w:rsidRPr="00965474">
        <w:rPr>
          <w:rFonts w:cs="Arial"/>
          <w:szCs w:val="22"/>
          <w:u w:val="single"/>
          <w:lang w:val="de-DE"/>
        </w:rPr>
        <w:t>Weitere Informationen:</w:t>
      </w:r>
    </w:p>
    <w:p w:rsidR="00965474" w:rsidRPr="00965474" w:rsidRDefault="00965474" w:rsidP="00965474">
      <w:pPr>
        <w:ind w:right="-567"/>
        <w:rPr>
          <w:rFonts w:cs="Arial"/>
          <w:szCs w:val="22"/>
          <w:lang w:val="de-DE"/>
        </w:rPr>
      </w:pPr>
      <w:r w:rsidRPr="00965474">
        <w:rPr>
          <w:rFonts w:cs="Arial"/>
          <w:szCs w:val="22"/>
          <w:lang w:val="de-DE"/>
        </w:rPr>
        <w:t>Philips GmbH, Unternehmenskommunikation</w:t>
      </w:r>
    </w:p>
    <w:p w:rsidR="00965474" w:rsidRPr="00965474" w:rsidRDefault="00965474" w:rsidP="00965474">
      <w:pPr>
        <w:ind w:right="-567"/>
        <w:rPr>
          <w:rFonts w:cs="Arial"/>
          <w:szCs w:val="22"/>
          <w:lang w:val="de-DE"/>
        </w:rPr>
      </w:pPr>
      <w:r w:rsidRPr="00965474">
        <w:rPr>
          <w:rFonts w:cs="Arial"/>
          <w:szCs w:val="22"/>
          <w:lang w:val="de-DE"/>
        </w:rPr>
        <w:t>Oliver Klug</w:t>
      </w:r>
    </w:p>
    <w:p w:rsidR="00965474" w:rsidRPr="00965474" w:rsidRDefault="00965474" w:rsidP="00965474">
      <w:pPr>
        <w:ind w:right="-567"/>
        <w:rPr>
          <w:rFonts w:cs="Arial"/>
          <w:szCs w:val="22"/>
          <w:lang w:val="de-DE"/>
        </w:rPr>
      </w:pPr>
      <w:r w:rsidRPr="00965474">
        <w:rPr>
          <w:rFonts w:cs="Arial"/>
          <w:szCs w:val="22"/>
          <w:lang w:val="de-DE"/>
        </w:rPr>
        <w:t>Lübeckertordamm 5</w:t>
      </w:r>
      <w:r w:rsidRPr="00965474">
        <w:rPr>
          <w:rFonts w:cs="Arial"/>
          <w:szCs w:val="22"/>
          <w:lang w:val="de-DE"/>
        </w:rPr>
        <w:tab/>
        <w:t>20099 Hamburg</w:t>
      </w:r>
    </w:p>
    <w:p w:rsidR="00965474" w:rsidRPr="00965474" w:rsidRDefault="00965474" w:rsidP="00965474">
      <w:pPr>
        <w:ind w:right="-567"/>
        <w:rPr>
          <w:rFonts w:cs="Arial"/>
          <w:szCs w:val="22"/>
          <w:lang w:val="de-DE"/>
        </w:rPr>
      </w:pPr>
      <w:r w:rsidRPr="00965474">
        <w:rPr>
          <w:rFonts w:cs="Arial"/>
          <w:szCs w:val="22"/>
          <w:lang w:val="de-DE"/>
        </w:rPr>
        <w:t>Telefon: 040-2899-2128</w:t>
      </w:r>
    </w:p>
    <w:p w:rsidR="00965474" w:rsidRPr="00965474" w:rsidRDefault="00965474" w:rsidP="00965474">
      <w:pPr>
        <w:rPr>
          <w:rFonts w:cs="Arial"/>
          <w:szCs w:val="22"/>
          <w:lang w:val="de-DE" w:eastAsia="en-US"/>
        </w:rPr>
      </w:pPr>
      <w:r w:rsidRPr="00965474">
        <w:rPr>
          <w:rFonts w:cs="Arial"/>
          <w:szCs w:val="22"/>
          <w:lang w:val="de-DE"/>
        </w:rPr>
        <w:t xml:space="preserve">E-Mail: </w:t>
      </w:r>
      <w:hyperlink r:id="rId12" w:history="1">
        <w:r w:rsidRPr="00965474">
          <w:rPr>
            <w:rStyle w:val="Hyperlink"/>
            <w:rFonts w:cs="Arial"/>
            <w:szCs w:val="22"/>
            <w:lang w:val="de-DE"/>
          </w:rPr>
          <w:t>oliver.klug@philips.com</w:t>
        </w:r>
      </w:hyperlink>
    </w:p>
    <w:p w:rsidR="00965474" w:rsidRPr="00965474" w:rsidRDefault="00965474" w:rsidP="00965474">
      <w:pPr>
        <w:rPr>
          <w:rFonts w:cs="Arial"/>
          <w:b/>
          <w:szCs w:val="22"/>
          <w:lang w:val="de-DE" w:eastAsia="en-US"/>
        </w:rPr>
      </w:pPr>
    </w:p>
    <w:p w:rsidR="00965474" w:rsidRPr="00965474" w:rsidRDefault="00965474" w:rsidP="00965474">
      <w:pPr>
        <w:rPr>
          <w:rFonts w:cs="Arial"/>
          <w:b/>
          <w:szCs w:val="22"/>
          <w:lang w:val="de-DE" w:eastAsia="en-US"/>
        </w:rPr>
      </w:pPr>
    </w:p>
    <w:p w:rsidR="00965474" w:rsidRPr="00965474" w:rsidRDefault="00965474" w:rsidP="00965474">
      <w:pPr>
        <w:rPr>
          <w:rFonts w:cs="Arial"/>
          <w:b/>
          <w:szCs w:val="22"/>
          <w:lang w:val="de-DE" w:eastAsia="en-US"/>
        </w:rPr>
      </w:pPr>
      <w:r w:rsidRPr="00965474">
        <w:rPr>
          <w:rFonts w:cs="Arial"/>
          <w:b/>
          <w:szCs w:val="22"/>
          <w:lang w:val="de-DE" w:eastAsia="en-US"/>
        </w:rPr>
        <w:t>Über Royal Philips</w:t>
      </w:r>
    </w:p>
    <w:p w:rsidR="00965474" w:rsidRPr="00965474" w:rsidRDefault="00965474" w:rsidP="00965474">
      <w:pPr>
        <w:pStyle w:val="KeinLeerraum"/>
        <w:rPr>
          <w:rFonts w:cs="Arial"/>
          <w:szCs w:val="24"/>
          <w:lang w:val="de-DE"/>
        </w:rPr>
      </w:pPr>
      <w:r w:rsidRPr="00965474">
        <w:rPr>
          <w:rFonts w:cs="Arial"/>
          <w:lang w:val="de-DE"/>
        </w:rPr>
        <w:t xml:space="preserve">Royal Philips (NYSE: PHG, AEX: PHIA), mit Hauptsitz in den Niederlanden, ist ein Unternehmen, das auf Gesundheit und Wohlbefinden ausgerichtet ist. Im Fokus steht die Verbesserung der Lebensqualität der Menschen mit innovativen Lösungen aus den Bereichen Healthcare, Consumer Lifestyle und Lighting. Philips beschäftigt etwa 113.000 Mitarbeiter in mehr als 100 Ländern und erzielte in 2013 einen Umsatz von 23,3 Milliarden Euro. Das Unternehmen gehört zu den Marktführern in den Bereichen Kardiologie, Notfallmedizin, Gesundheitsversorgung für zuhause sowie energieeffizienten Lichtlösungen. Außerdem ist Philips einer der führenden Anbieter im Bereich Mundhygiene sowie bei Rasierern und Körperpflegeprodukten für Männer. Mehr über Philips im Internet: </w:t>
      </w:r>
      <w:hyperlink r:id="rId13" w:history="1">
        <w:r w:rsidRPr="00965474">
          <w:rPr>
            <w:rStyle w:val="Hyperlink"/>
            <w:rFonts w:cs="Arial"/>
            <w:lang w:val="de-DE"/>
          </w:rPr>
          <w:t>www.philips.de</w:t>
        </w:r>
      </w:hyperlink>
    </w:p>
    <w:p w:rsidR="00965474" w:rsidRPr="00965474" w:rsidRDefault="00965474" w:rsidP="00965474">
      <w:pPr>
        <w:rPr>
          <w:rFonts w:cs="Arial"/>
          <w:b/>
          <w:szCs w:val="22"/>
          <w:lang w:val="de-DE"/>
        </w:rPr>
      </w:pPr>
    </w:p>
    <w:p w:rsidR="005C357C" w:rsidRPr="008B6731" w:rsidRDefault="005C357C" w:rsidP="00965474">
      <w:pPr>
        <w:rPr>
          <w:rFonts w:cs="Calibri"/>
          <w:szCs w:val="24"/>
          <w:lang w:val="de-DE" w:eastAsia="en-US"/>
        </w:rPr>
      </w:pPr>
    </w:p>
    <w:sectPr w:rsidR="005C357C" w:rsidRPr="008B6731" w:rsidSect="001C2732">
      <w:headerReference w:type="default" r:id="rId14"/>
      <w:footerReference w:type="default" r:id="rId15"/>
      <w:headerReference w:type="first" r:id="rId16"/>
      <w:footerReference w:type="first" r:id="rId17"/>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2E3" w:rsidRDefault="00A722E3">
      <w:r>
        <w:separator/>
      </w:r>
    </w:p>
  </w:endnote>
  <w:endnote w:type="continuationSeparator" w:id="0">
    <w:p w:rsidR="00A722E3" w:rsidRDefault="00A7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8" w:name="MLTableFooter"/>
        </w:p>
      </w:tc>
    </w:tr>
    <w:tr w:rsidR="009E2945" w:rsidRPr="00A613E1" w:rsidTr="00F77841">
      <w:trPr>
        <w:cantSplit/>
        <w:trHeight w:hRule="exact" w:val="907"/>
      </w:trPr>
      <w:tc>
        <w:tcPr>
          <w:tcW w:w="8414" w:type="dxa"/>
          <w:vAlign w:val="bottom"/>
        </w:tcPr>
        <w:p w:rsidR="009E2945" w:rsidRPr="009E2945" w:rsidRDefault="00965474" w:rsidP="009E2945">
          <w:pPr>
            <w:framePr w:w="9979" w:h="567" w:wrap="notBeside" w:vAnchor="page" w:hAnchor="page" w:x="1736" w:yAlign="bottom"/>
            <w:jc w:val="center"/>
            <w:rPr>
              <w:rFonts w:cs="Calibri"/>
              <w:noProof/>
              <w:sz w:val="16"/>
              <w:szCs w:val="16"/>
              <w:lang w:val="en-GB"/>
            </w:rPr>
          </w:pPr>
          <w:bookmarkStart w:id="9" w:name="LgoShield2013"/>
          <w:r>
            <w:rPr>
              <w:rFonts w:cs="Calibri"/>
              <w:noProof/>
              <w:sz w:val="16"/>
              <w:szCs w:val="16"/>
              <w:lang w:val="de-DE"/>
            </w:rPr>
            <w:drawing>
              <wp:inline distT="0" distB="0" distL="0" distR="0">
                <wp:extent cx="447675" cy="571500"/>
                <wp:effectExtent l="0" t="0" r="9525" b="0"/>
                <wp:docPr id="2" name="Picture 6"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sidR="00D5079C" w:rsidRPr="00D5079C">
            <w:rPr>
              <w:rFonts w:cs="Calibri"/>
              <w:noProof/>
              <w:sz w:val="16"/>
              <w:szCs w:val="16"/>
              <w:lang w:eastAsia="en-US"/>
            </w:rPr>
            <w:t xml:space="preserve"> </w:t>
          </w:r>
          <w:bookmarkEnd w:id="9"/>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8"/>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framePr w:w="1418" w:h="1134" w:hSpace="284" w:wrap="around" w:vAnchor="page" w:hAnchor="page" w:xAlign="right" w:y="12475"/>
      <w:shd w:val="clear" w:color="FFFFFF" w:fill="auto"/>
      <w:rPr>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2E3" w:rsidRDefault="00A722E3">
      <w:r>
        <w:separator/>
      </w:r>
    </w:p>
  </w:footnote>
  <w:footnote w:type="continuationSeparator" w:id="0">
    <w:p w:rsidR="00A722E3" w:rsidRDefault="00A72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965474" w:rsidP="009E2945">
    <w:pPr>
      <w:framePr w:w="2954" w:h="856" w:wrap="around" w:vAnchor="page" w:hAnchor="page" w:x="1736" w:y="1243"/>
      <w:spacing w:line="720" w:lineRule="auto"/>
    </w:pPr>
    <w:bookmarkStart w:id="1" w:name="LgoWordmarkPage2"/>
    <w:r>
      <w:rPr>
        <w:rFonts w:cs="Calibri"/>
        <w:noProof/>
        <w:lang w:val="de-DE"/>
      </w:rPr>
      <w:drawing>
        <wp:inline distT="0" distB="0" distL="0" distR="0">
          <wp:extent cx="1104900" cy="200025"/>
          <wp:effectExtent l="0" t="0" r="0" b="9525"/>
          <wp:docPr id="5" name="Picture 5"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200025"/>
                  </a:xfrm>
                  <a:prstGeom prst="rect">
                    <a:avLst/>
                  </a:prstGeom>
                  <a:noFill/>
                  <a:ln>
                    <a:noFill/>
                  </a:ln>
                </pic:spPr>
              </pic:pic>
            </a:graphicData>
          </a:graphic>
        </wp:inline>
      </w:drawing>
    </w:r>
    <w:r w:rsidR="00D5079C" w:rsidRPr="00D5079C">
      <w:rPr>
        <w:rFonts w:cs="Calibri"/>
        <w:noProof/>
        <w:lang w:eastAsia="en-US"/>
      </w:rPr>
      <w:t xml:space="preserve"> </w:t>
    </w:r>
    <w:bookmarkEnd w:id="1"/>
    <w:r w:rsidR="009E2945">
      <w:t xml:space="preserve"> </w:t>
    </w:r>
  </w:p>
  <w:p w:rsidR="00D5079C" w:rsidRDefault="00950257">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D5079C" w:rsidRDefault="00D5079C" w:rsidP="00221DD3">
    <w:pPr>
      <w:framePr w:w="340" w:h="363" w:hRule="exact" w:hSpace="1191" w:wrap="around" w:vAnchor="page" w:hAnchor="page" w:xAlign="right" w:y="5388"/>
      <w:shd w:val="clear" w:color="FFFFFF" w:fill="auto"/>
      <w:rPr>
        <w:lang w:val="en-GB"/>
      </w:rPr>
    </w:pPr>
    <w:r>
      <w:rPr>
        <w:lang w:val="en-GB"/>
      </w:rPr>
      <w:t>_</w:t>
    </w:r>
  </w:p>
  <w:p w:rsidR="00D5079C" w:rsidRDefault="00D5079C">
    <w:pPr>
      <w:framePr w:w="340" w:h="1686" w:hRule="exact" w:wrap="around" w:vAnchor="page" w:hAnchor="page" w:x="404" w:y="6840"/>
      <w:shd w:val="clear" w:color="FFFFFF" w:fill="auto"/>
      <w:spacing w:before="880"/>
      <w:rPr>
        <w:lang w:val="en-GB"/>
      </w:rPr>
    </w:pPr>
    <w:r>
      <w:rPr>
        <w:lang w:val="en-GB"/>
      </w:rPr>
      <w:t>_</w:t>
    </w:r>
  </w:p>
  <w:p w:rsidR="005D0415" w:rsidRDefault="00950257">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6E6076" w:rsidRPr="004839F9" w:rsidRDefault="006E6076" w:rsidP="006E6076">
          <w:pPr>
            <w:rPr>
              <w:sz w:val="16"/>
              <w:szCs w:val="16"/>
            </w:rPr>
          </w:pPr>
          <w:bookmarkStart w:id="2" w:name="Page"/>
          <w:r>
            <w:rPr>
              <w:rFonts w:cs="Calibri"/>
              <w:sz w:val="16"/>
              <w:szCs w:val="16"/>
              <w:lang w:eastAsia="en-US"/>
            </w:rPr>
            <w:t>September</w:t>
          </w:r>
          <w:r w:rsidRPr="00D768CC">
            <w:rPr>
              <w:rFonts w:cs="Calibri"/>
              <w:sz w:val="16"/>
              <w:szCs w:val="16"/>
              <w:lang w:eastAsia="en-US"/>
            </w:rPr>
            <w:t xml:space="preserve"> 2014</w:t>
          </w:r>
        </w:p>
        <w:p w:rsidR="005D0415" w:rsidRPr="0001308C" w:rsidRDefault="006E6076" w:rsidP="006E6076">
          <w:pPr>
            <w:rPr>
              <w:sz w:val="16"/>
              <w:szCs w:val="16"/>
              <w:lang w:val="en-GB"/>
            </w:rPr>
          </w:pPr>
          <w:proofErr w:type="spellStart"/>
          <w:r>
            <w:rPr>
              <w:sz w:val="16"/>
              <w:szCs w:val="16"/>
              <w:lang w:val="en-GB"/>
            </w:rPr>
            <w:t>Seite</w:t>
          </w:r>
          <w:proofErr w:type="spellEnd"/>
          <w:r>
            <w:rPr>
              <w:sz w:val="16"/>
              <w:szCs w:val="16"/>
              <w:lang w:val="en-GB"/>
            </w:rPr>
            <w:t>:</w:t>
          </w:r>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915884">
            <w:rPr>
              <w:noProof/>
              <w:sz w:val="16"/>
              <w:szCs w:val="16"/>
              <w:lang w:val="en-GB"/>
            </w:rPr>
            <w:t>2</w:t>
          </w:r>
          <w:r w:rsidRPr="0001308C">
            <w:rPr>
              <w:sz w:val="16"/>
              <w:szCs w:val="16"/>
              <w:lang w:val="en-GB"/>
            </w:rPr>
            <w:fldChar w:fldCharType="end"/>
          </w:r>
          <w:bookmarkEnd w:id="2"/>
        </w:p>
      </w:tc>
    </w:tr>
  </w:tbl>
  <w:p w:rsidR="005D0415" w:rsidRDefault="005D0415">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415" w:rsidRDefault="005D0415">
    <w:pPr>
      <w:spacing w:line="240" w:lineRule="exact"/>
      <w:rPr>
        <w:noProof/>
      </w:rPr>
    </w:pPr>
    <w:bookmarkStart w:id="3" w:name="LgoWordmarkRef"/>
  </w:p>
  <w:p w:rsidR="005D0415" w:rsidRDefault="005D0415">
    <w:pPr>
      <w:spacing w:line="240" w:lineRule="exact"/>
      <w:rPr>
        <w:lang w:val="en-GB"/>
      </w:rPr>
    </w:pPr>
    <w:bookmarkStart w:id="4" w:name="Dashes"/>
    <w:bookmarkEnd w:id="3"/>
  </w:p>
  <w:p w:rsidR="005D0415" w:rsidRDefault="005D0415" w:rsidP="00221DD3">
    <w:pPr>
      <w:framePr w:w="340" w:h="363" w:hRule="exact" w:hSpace="1191" w:wrap="around" w:vAnchor="page" w:hAnchor="page" w:xAlign="right" w:y="5388"/>
      <w:shd w:val="clear" w:color="FFFFFF" w:fill="auto"/>
      <w:rPr>
        <w:lang w:val="en-GB"/>
      </w:rPr>
    </w:pPr>
    <w:bookmarkStart w:id="5" w:name="Falz1"/>
    <w:r>
      <w:rPr>
        <w:lang w:val="en-GB"/>
      </w:rPr>
      <w:t>_</w:t>
    </w:r>
  </w:p>
  <w:p w:rsidR="005D0415" w:rsidRDefault="005D0415">
    <w:pPr>
      <w:framePr w:w="340" w:h="1686" w:hRule="exact" w:wrap="around" w:vAnchor="page" w:hAnchor="page" w:x="404" w:y="6840"/>
      <w:shd w:val="clear" w:color="FFFFFF" w:fill="auto"/>
      <w:spacing w:before="880"/>
      <w:rPr>
        <w:lang w:val="en-GB"/>
      </w:rPr>
    </w:pPr>
    <w:bookmarkStart w:id="6" w:name="Falz2"/>
    <w:bookmarkEnd w:id="5"/>
    <w:r>
      <w:rPr>
        <w:lang w:val="en-GB"/>
      </w:rPr>
      <w:t>_</w:t>
    </w:r>
  </w:p>
  <w:bookmarkEnd w:id="4"/>
  <w:bookmarkEnd w:id="6"/>
  <w:p w:rsidR="005D0415" w:rsidRDefault="00965474">
    <w:pPr>
      <w:spacing w:line="240" w:lineRule="exact"/>
      <w:rPr>
        <w:lang w:val="en-GB"/>
      </w:rPr>
    </w:pPr>
    <w:r>
      <w:rPr>
        <w:noProof/>
        <w:lang w:val="de-DE"/>
      </w:rPr>
      <mc:AlternateContent>
        <mc:Choice Requires="wps">
          <w:drawing>
            <wp:anchor distT="4294967293" distB="4294967293"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3mB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PjveYE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de-DE"/>
      </w:rPr>
      <mc:AlternateContent>
        <mc:Choice Requires="wps">
          <w:drawing>
            <wp:anchor distT="4294967293" distB="4294967293"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ji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Lg&#10;SOI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965474" w:rsidP="006204FC">
    <w:pPr>
      <w:framePr w:w="5687" w:h="964" w:hRule="exact" w:wrap="around" w:vAnchor="page" w:hAnchor="page" w:x="1736" w:y="1050" w:anchorLock="1"/>
      <w:rPr>
        <w:noProof/>
        <w:lang w:val="en-GB"/>
      </w:rPr>
    </w:pPr>
    <w:bookmarkStart w:id="7" w:name="LgoWordmark"/>
    <w:r>
      <w:rPr>
        <w:rFonts w:cs="Calibri"/>
        <w:noProof/>
        <w:lang w:val="de-DE"/>
      </w:rPr>
      <w:drawing>
        <wp:inline distT="0" distB="0" distL="0" distR="0">
          <wp:extent cx="1790700" cy="333375"/>
          <wp:effectExtent l="0" t="0" r="0" b="9525"/>
          <wp:docPr id="4" name="Picture 4"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sidR="00D5079C" w:rsidRPr="00D5079C">
      <w:rPr>
        <w:rFonts w:cs="Calibri"/>
        <w:noProof/>
        <w:lang w:eastAsia="en-US"/>
      </w:rPr>
      <w:t xml:space="preserve"> </w:t>
    </w:r>
    <w:bookmarkEnd w:id="7"/>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C7D"/>
    <w:multiLevelType w:val="hybridMultilevel"/>
    <w:tmpl w:val="12709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7C7F35"/>
    <w:multiLevelType w:val="hybridMultilevel"/>
    <w:tmpl w:val="F788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3F6F7A"/>
    <w:multiLevelType w:val="hybridMultilevel"/>
    <w:tmpl w:val="F3F6C548"/>
    <w:lvl w:ilvl="0" w:tplc="08CA6C66">
      <w:start w:val="1"/>
      <w:numFmt w:val="bullet"/>
      <w:lvlText w:val="•"/>
      <w:lvlJc w:val="left"/>
      <w:pPr>
        <w:tabs>
          <w:tab w:val="num" w:pos="720"/>
        </w:tabs>
        <w:ind w:left="720" w:hanging="360"/>
      </w:pPr>
      <w:rPr>
        <w:rFonts w:ascii="Arial" w:hAnsi="Arial" w:hint="default"/>
      </w:rPr>
    </w:lvl>
    <w:lvl w:ilvl="1" w:tplc="15FCB444" w:tentative="1">
      <w:start w:val="1"/>
      <w:numFmt w:val="bullet"/>
      <w:lvlText w:val="•"/>
      <w:lvlJc w:val="left"/>
      <w:pPr>
        <w:tabs>
          <w:tab w:val="num" w:pos="1440"/>
        </w:tabs>
        <w:ind w:left="1440" w:hanging="360"/>
      </w:pPr>
      <w:rPr>
        <w:rFonts w:ascii="Arial" w:hAnsi="Arial" w:hint="default"/>
      </w:rPr>
    </w:lvl>
    <w:lvl w:ilvl="2" w:tplc="0D2A5D5E" w:tentative="1">
      <w:start w:val="1"/>
      <w:numFmt w:val="bullet"/>
      <w:lvlText w:val="•"/>
      <w:lvlJc w:val="left"/>
      <w:pPr>
        <w:tabs>
          <w:tab w:val="num" w:pos="2160"/>
        </w:tabs>
        <w:ind w:left="2160" w:hanging="360"/>
      </w:pPr>
      <w:rPr>
        <w:rFonts w:ascii="Arial" w:hAnsi="Arial" w:hint="default"/>
      </w:rPr>
    </w:lvl>
    <w:lvl w:ilvl="3" w:tplc="72EC4660" w:tentative="1">
      <w:start w:val="1"/>
      <w:numFmt w:val="bullet"/>
      <w:lvlText w:val="•"/>
      <w:lvlJc w:val="left"/>
      <w:pPr>
        <w:tabs>
          <w:tab w:val="num" w:pos="2880"/>
        </w:tabs>
        <w:ind w:left="2880" w:hanging="360"/>
      </w:pPr>
      <w:rPr>
        <w:rFonts w:ascii="Arial" w:hAnsi="Arial" w:hint="default"/>
      </w:rPr>
    </w:lvl>
    <w:lvl w:ilvl="4" w:tplc="574EE642" w:tentative="1">
      <w:start w:val="1"/>
      <w:numFmt w:val="bullet"/>
      <w:lvlText w:val="•"/>
      <w:lvlJc w:val="left"/>
      <w:pPr>
        <w:tabs>
          <w:tab w:val="num" w:pos="3600"/>
        </w:tabs>
        <w:ind w:left="3600" w:hanging="360"/>
      </w:pPr>
      <w:rPr>
        <w:rFonts w:ascii="Arial" w:hAnsi="Arial" w:hint="default"/>
      </w:rPr>
    </w:lvl>
    <w:lvl w:ilvl="5" w:tplc="012432D8" w:tentative="1">
      <w:start w:val="1"/>
      <w:numFmt w:val="bullet"/>
      <w:lvlText w:val="•"/>
      <w:lvlJc w:val="left"/>
      <w:pPr>
        <w:tabs>
          <w:tab w:val="num" w:pos="4320"/>
        </w:tabs>
        <w:ind w:left="4320" w:hanging="360"/>
      </w:pPr>
      <w:rPr>
        <w:rFonts w:ascii="Arial" w:hAnsi="Arial" w:hint="default"/>
      </w:rPr>
    </w:lvl>
    <w:lvl w:ilvl="6" w:tplc="1A6294F8" w:tentative="1">
      <w:start w:val="1"/>
      <w:numFmt w:val="bullet"/>
      <w:lvlText w:val="•"/>
      <w:lvlJc w:val="left"/>
      <w:pPr>
        <w:tabs>
          <w:tab w:val="num" w:pos="5040"/>
        </w:tabs>
        <w:ind w:left="5040" w:hanging="360"/>
      </w:pPr>
      <w:rPr>
        <w:rFonts w:ascii="Arial" w:hAnsi="Arial" w:hint="default"/>
      </w:rPr>
    </w:lvl>
    <w:lvl w:ilvl="7" w:tplc="5E509B58" w:tentative="1">
      <w:start w:val="1"/>
      <w:numFmt w:val="bullet"/>
      <w:lvlText w:val="•"/>
      <w:lvlJc w:val="left"/>
      <w:pPr>
        <w:tabs>
          <w:tab w:val="num" w:pos="5760"/>
        </w:tabs>
        <w:ind w:left="5760" w:hanging="360"/>
      </w:pPr>
      <w:rPr>
        <w:rFonts w:ascii="Arial" w:hAnsi="Arial" w:hint="default"/>
      </w:rPr>
    </w:lvl>
    <w:lvl w:ilvl="8" w:tplc="E592A74C" w:tentative="1">
      <w:start w:val="1"/>
      <w:numFmt w:val="bullet"/>
      <w:lvlText w:val="•"/>
      <w:lvlJc w:val="left"/>
      <w:pPr>
        <w:tabs>
          <w:tab w:val="num" w:pos="6480"/>
        </w:tabs>
        <w:ind w:left="6480" w:hanging="360"/>
      </w:pPr>
      <w:rPr>
        <w:rFonts w:ascii="Arial" w:hAnsi="Arial" w:hint="default"/>
      </w:rPr>
    </w:lvl>
  </w:abstractNum>
  <w:abstractNum w:abstractNumId="3">
    <w:nsid w:val="14B46A9A"/>
    <w:multiLevelType w:val="hybridMultilevel"/>
    <w:tmpl w:val="AD122332"/>
    <w:lvl w:ilvl="0" w:tplc="A322DA08">
      <w:start w:val="1"/>
      <w:numFmt w:val="decimal"/>
      <w:lvlText w:val="%1."/>
      <w:lvlJc w:val="left"/>
      <w:pPr>
        <w:tabs>
          <w:tab w:val="num" w:pos="720"/>
        </w:tabs>
        <w:ind w:left="720" w:hanging="360"/>
      </w:pPr>
    </w:lvl>
    <w:lvl w:ilvl="1" w:tplc="E7288168" w:tentative="1">
      <w:start w:val="1"/>
      <w:numFmt w:val="decimal"/>
      <w:lvlText w:val="%2."/>
      <w:lvlJc w:val="left"/>
      <w:pPr>
        <w:tabs>
          <w:tab w:val="num" w:pos="1440"/>
        </w:tabs>
        <w:ind w:left="1440" w:hanging="360"/>
      </w:pPr>
    </w:lvl>
    <w:lvl w:ilvl="2" w:tplc="E356EDAE" w:tentative="1">
      <w:start w:val="1"/>
      <w:numFmt w:val="decimal"/>
      <w:lvlText w:val="%3."/>
      <w:lvlJc w:val="left"/>
      <w:pPr>
        <w:tabs>
          <w:tab w:val="num" w:pos="2160"/>
        </w:tabs>
        <w:ind w:left="2160" w:hanging="360"/>
      </w:pPr>
    </w:lvl>
    <w:lvl w:ilvl="3" w:tplc="F17848E4" w:tentative="1">
      <w:start w:val="1"/>
      <w:numFmt w:val="decimal"/>
      <w:lvlText w:val="%4."/>
      <w:lvlJc w:val="left"/>
      <w:pPr>
        <w:tabs>
          <w:tab w:val="num" w:pos="2880"/>
        </w:tabs>
        <w:ind w:left="2880" w:hanging="360"/>
      </w:pPr>
    </w:lvl>
    <w:lvl w:ilvl="4" w:tplc="A5042822" w:tentative="1">
      <w:start w:val="1"/>
      <w:numFmt w:val="decimal"/>
      <w:lvlText w:val="%5."/>
      <w:lvlJc w:val="left"/>
      <w:pPr>
        <w:tabs>
          <w:tab w:val="num" w:pos="3600"/>
        </w:tabs>
        <w:ind w:left="3600" w:hanging="360"/>
      </w:pPr>
    </w:lvl>
    <w:lvl w:ilvl="5" w:tplc="EFBCA292" w:tentative="1">
      <w:start w:val="1"/>
      <w:numFmt w:val="decimal"/>
      <w:lvlText w:val="%6."/>
      <w:lvlJc w:val="left"/>
      <w:pPr>
        <w:tabs>
          <w:tab w:val="num" w:pos="4320"/>
        </w:tabs>
        <w:ind w:left="4320" w:hanging="360"/>
      </w:pPr>
    </w:lvl>
    <w:lvl w:ilvl="6" w:tplc="6AD03F20" w:tentative="1">
      <w:start w:val="1"/>
      <w:numFmt w:val="decimal"/>
      <w:lvlText w:val="%7."/>
      <w:lvlJc w:val="left"/>
      <w:pPr>
        <w:tabs>
          <w:tab w:val="num" w:pos="5040"/>
        </w:tabs>
        <w:ind w:left="5040" w:hanging="360"/>
      </w:pPr>
    </w:lvl>
    <w:lvl w:ilvl="7" w:tplc="03BE047E" w:tentative="1">
      <w:start w:val="1"/>
      <w:numFmt w:val="decimal"/>
      <w:lvlText w:val="%8."/>
      <w:lvlJc w:val="left"/>
      <w:pPr>
        <w:tabs>
          <w:tab w:val="num" w:pos="5760"/>
        </w:tabs>
        <w:ind w:left="5760" w:hanging="360"/>
      </w:pPr>
    </w:lvl>
    <w:lvl w:ilvl="8" w:tplc="9FB212CE" w:tentative="1">
      <w:start w:val="1"/>
      <w:numFmt w:val="decimal"/>
      <w:lvlText w:val="%9."/>
      <w:lvlJc w:val="left"/>
      <w:pPr>
        <w:tabs>
          <w:tab w:val="num" w:pos="6480"/>
        </w:tabs>
        <w:ind w:left="6480" w:hanging="360"/>
      </w:pPr>
    </w:lvl>
  </w:abstractNum>
  <w:abstractNum w:abstractNumId="4">
    <w:nsid w:val="25393FC9"/>
    <w:multiLevelType w:val="hybridMultilevel"/>
    <w:tmpl w:val="B5E0E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583FE4"/>
    <w:multiLevelType w:val="hybridMultilevel"/>
    <w:tmpl w:val="87FE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504712"/>
    <w:multiLevelType w:val="hybridMultilevel"/>
    <w:tmpl w:val="5D32B19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59A67130"/>
    <w:multiLevelType w:val="hybridMultilevel"/>
    <w:tmpl w:val="0AAA643A"/>
    <w:lvl w:ilvl="0" w:tplc="A4EC5B26">
      <w:start w:val="1"/>
      <w:numFmt w:val="bullet"/>
      <w:lvlText w:val="•"/>
      <w:lvlJc w:val="left"/>
      <w:pPr>
        <w:tabs>
          <w:tab w:val="num" w:pos="720"/>
        </w:tabs>
        <w:ind w:left="720" w:hanging="360"/>
      </w:pPr>
      <w:rPr>
        <w:rFonts w:ascii="Arial" w:hAnsi="Arial" w:hint="default"/>
      </w:rPr>
    </w:lvl>
    <w:lvl w:ilvl="1" w:tplc="57A26C50" w:tentative="1">
      <w:start w:val="1"/>
      <w:numFmt w:val="bullet"/>
      <w:lvlText w:val="•"/>
      <w:lvlJc w:val="left"/>
      <w:pPr>
        <w:tabs>
          <w:tab w:val="num" w:pos="1440"/>
        </w:tabs>
        <w:ind w:left="1440" w:hanging="360"/>
      </w:pPr>
      <w:rPr>
        <w:rFonts w:ascii="Arial" w:hAnsi="Arial" w:hint="default"/>
      </w:rPr>
    </w:lvl>
    <w:lvl w:ilvl="2" w:tplc="ABEE3524" w:tentative="1">
      <w:start w:val="1"/>
      <w:numFmt w:val="bullet"/>
      <w:lvlText w:val="•"/>
      <w:lvlJc w:val="left"/>
      <w:pPr>
        <w:tabs>
          <w:tab w:val="num" w:pos="2160"/>
        </w:tabs>
        <w:ind w:left="2160" w:hanging="360"/>
      </w:pPr>
      <w:rPr>
        <w:rFonts w:ascii="Arial" w:hAnsi="Arial" w:hint="default"/>
      </w:rPr>
    </w:lvl>
    <w:lvl w:ilvl="3" w:tplc="2834B166" w:tentative="1">
      <w:start w:val="1"/>
      <w:numFmt w:val="bullet"/>
      <w:lvlText w:val="•"/>
      <w:lvlJc w:val="left"/>
      <w:pPr>
        <w:tabs>
          <w:tab w:val="num" w:pos="2880"/>
        </w:tabs>
        <w:ind w:left="2880" w:hanging="360"/>
      </w:pPr>
      <w:rPr>
        <w:rFonts w:ascii="Arial" w:hAnsi="Arial" w:hint="default"/>
      </w:rPr>
    </w:lvl>
    <w:lvl w:ilvl="4" w:tplc="25CA391A" w:tentative="1">
      <w:start w:val="1"/>
      <w:numFmt w:val="bullet"/>
      <w:lvlText w:val="•"/>
      <w:lvlJc w:val="left"/>
      <w:pPr>
        <w:tabs>
          <w:tab w:val="num" w:pos="3600"/>
        </w:tabs>
        <w:ind w:left="3600" w:hanging="360"/>
      </w:pPr>
      <w:rPr>
        <w:rFonts w:ascii="Arial" w:hAnsi="Arial" w:hint="default"/>
      </w:rPr>
    </w:lvl>
    <w:lvl w:ilvl="5" w:tplc="F0C41602" w:tentative="1">
      <w:start w:val="1"/>
      <w:numFmt w:val="bullet"/>
      <w:lvlText w:val="•"/>
      <w:lvlJc w:val="left"/>
      <w:pPr>
        <w:tabs>
          <w:tab w:val="num" w:pos="4320"/>
        </w:tabs>
        <w:ind w:left="4320" w:hanging="360"/>
      </w:pPr>
      <w:rPr>
        <w:rFonts w:ascii="Arial" w:hAnsi="Arial" w:hint="default"/>
      </w:rPr>
    </w:lvl>
    <w:lvl w:ilvl="6" w:tplc="A0DEEFF4" w:tentative="1">
      <w:start w:val="1"/>
      <w:numFmt w:val="bullet"/>
      <w:lvlText w:val="•"/>
      <w:lvlJc w:val="left"/>
      <w:pPr>
        <w:tabs>
          <w:tab w:val="num" w:pos="5040"/>
        </w:tabs>
        <w:ind w:left="5040" w:hanging="360"/>
      </w:pPr>
      <w:rPr>
        <w:rFonts w:ascii="Arial" w:hAnsi="Arial" w:hint="default"/>
      </w:rPr>
    </w:lvl>
    <w:lvl w:ilvl="7" w:tplc="178008C8" w:tentative="1">
      <w:start w:val="1"/>
      <w:numFmt w:val="bullet"/>
      <w:lvlText w:val="•"/>
      <w:lvlJc w:val="left"/>
      <w:pPr>
        <w:tabs>
          <w:tab w:val="num" w:pos="5760"/>
        </w:tabs>
        <w:ind w:left="5760" w:hanging="360"/>
      </w:pPr>
      <w:rPr>
        <w:rFonts w:ascii="Arial" w:hAnsi="Arial" w:hint="default"/>
      </w:rPr>
    </w:lvl>
    <w:lvl w:ilvl="8" w:tplc="4658057E" w:tentative="1">
      <w:start w:val="1"/>
      <w:numFmt w:val="bullet"/>
      <w:lvlText w:val="•"/>
      <w:lvlJc w:val="left"/>
      <w:pPr>
        <w:tabs>
          <w:tab w:val="num" w:pos="6480"/>
        </w:tabs>
        <w:ind w:left="6480" w:hanging="360"/>
      </w:pPr>
      <w:rPr>
        <w:rFonts w:ascii="Arial" w:hAnsi="Arial" w:hint="default"/>
      </w:rPr>
    </w:lvl>
  </w:abstractNum>
  <w:abstractNum w:abstractNumId="9">
    <w:nsid w:val="61497030"/>
    <w:multiLevelType w:val="hybridMultilevel"/>
    <w:tmpl w:val="7698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0754DE"/>
    <w:multiLevelType w:val="hybridMultilevel"/>
    <w:tmpl w:val="2DA0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1D7907"/>
    <w:multiLevelType w:val="hybridMultilevel"/>
    <w:tmpl w:val="43BCF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8"/>
  </w:num>
  <w:num w:numId="5">
    <w:abstractNumId w:val="6"/>
  </w:num>
  <w:num w:numId="6">
    <w:abstractNumId w:val="9"/>
  </w:num>
  <w:num w:numId="7">
    <w:abstractNumId w:val="5"/>
  </w:num>
  <w:num w:numId="8">
    <w:abstractNumId w:val="10"/>
  </w:num>
  <w:num w:numId="9">
    <w:abstractNumId w:val="4"/>
  </w:num>
  <w:num w:numId="10">
    <w:abstractNumId w:val="0"/>
  </w:num>
  <w:num w:numId="11">
    <w:abstractNumId w:val="3"/>
  </w:num>
  <w:num w:numId="1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163"/>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fg.ActiveLayout" w:val="System.MainNode1.Layout1"/>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8-20/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8-12/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
    <w:docVar w:name="clb.IsCalibrated" w:val="0"/>
    <w:docVar w:name="clb.Options" w:val="0"/>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intDefault" w:val="1"/>
    <w:docVar w:name="saxProtectionMode" w:val="1"/>
    <w:docVar w:name="saxSection" w:val="English"/>
    <w:docVar w:name="saxTvNo" w:val="0"/>
    <w:docVar w:name="saxUpdate.LayoutVersion" w:val="0"/>
  </w:docVars>
  <w:rsids>
    <w:rsidRoot w:val="00225849"/>
    <w:rsid w:val="00000D5C"/>
    <w:rsid w:val="00004C32"/>
    <w:rsid w:val="0001308C"/>
    <w:rsid w:val="00014F84"/>
    <w:rsid w:val="00016AF4"/>
    <w:rsid w:val="0002044F"/>
    <w:rsid w:val="000260FC"/>
    <w:rsid w:val="00035A19"/>
    <w:rsid w:val="00040B56"/>
    <w:rsid w:val="00047D5C"/>
    <w:rsid w:val="00056E22"/>
    <w:rsid w:val="00057327"/>
    <w:rsid w:val="00077683"/>
    <w:rsid w:val="0008088C"/>
    <w:rsid w:val="00081964"/>
    <w:rsid w:val="00082B0B"/>
    <w:rsid w:val="00083B84"/>
    <w:rsid w:val="0008608C"/>
    <w:rsid w:val="0008670D"/>
    <w:rsid w:val="00091FB2"/>
    <w:rsid w:val="000943AB"/>
    <w:rsid w:val="0009471A"/>
    <w:rsid w:val="000A3ECB"/>
    <w:rsid w:val="000B3A3C"/>
    <w:rsid w:val="000B6F21"/>
    <w:rsid w:val="000C4D4F"/>
    <w:rsid w:val="000C7E20"/>
    <w:rsid w:val="000D2E72"/>
    <w:rsid w:val="000D7777"/>
    <w:rsid w:val="000D7B4B"/>
    <w:rsid w:val="000E4D82"/>
    <w:rsid w:val="000F2014"/>
    <w:rsid w:val="000F2F8C"/>
    <w:rsid w:val="000F5CFC"/>
    <w:rsid w:val="000F713C"/>
    <w:rsid w:val="001000B1"/>
    <w:rsid w:val="00100E11"/>
    <w:rsid w:val="00102ACE"/>
    <w:rsid w:val="00106190"/>
    <w:rsid w:val="00107624"/>
    <w:rsid w:val="00110B19"/>
    <w:rsid w:val="00113552"/>
    <w:rsid w:val="00114549"/>
    <w:rsid w:val="001148ED"/>
    <w:rsid w:val="00117A79"/>
    <w:rsid w:val="0012462A"/>
    <w:rsid w:val="00124843"/>
    <w:rsid w:val="0013161E"/>
    <w:rsid w:val="00131D57"/>
    <w:rsid w:val="0013265C"/>
    <w:rsid w:val="00135314"/>
    <w:rsid w:val="00137020"/>
    <w:rsid w:val="00140E95"/>
    <w:rsid w:val="001443E8"/>
    <w:rsid w:val="00145F04"/>
    <w:rsid w:val="00150DBF"/>
    <w:rsid w:val="0015365B"/>
    <w:rsid w:val="001547E8"/>
    <w:rsid w:val="00157485"/>
    <w:rsid w:val="001667C4"/>
    <w:rsid w:val="00167C97"/>
    <w:rsid w:val="00175FD7"/>
    <w:rsid w:val="00176745"/>
    <w:rsid w:val="0018397A"/>
    <w:rsid w:val="00186644"/>
    <w:rsid w:val="001928B6"/>
    <w:rsid w:val="0019379D"/>
    <w:rsid w:val="00195ADF"/>
    <w:rsid w:val="00195C05"/>
    <w:rsid w:val="001A19B9"/>
    <w:rsid w:val="001B01B4"/>
    <w:rsid w:val="001B3848"/>
    <w:rsid w:val="001B3DD3"/>
    <w:rsid w:val="001B5328"/>
    <w:rsid w:val="001B5A04"/>
    <w:rsid w:val="001C2732"/>
    <w:rsid w:val="001C3DDA"/>
    <w:rsid w:val="001C5279"/>
    <w:rsid w:val="001D11F9"/>
    <w:rsid w:val="001E388F"/>
    <w:rsid w:val="001E4783"/>
    <w:rsid w:val="001F4C45"/>
    <w:rsid w:val="001F52BE"/>
    <w:rsid w:val="00202DE7"/>
    <w:rsid w:val="002057F7"/>
    <w:rsid w:val="00205E8C"/>
    <w:rsid w:val="00207E0C"/>
    <w:rsid w:val="00211E83"/>
    <w:rsid w:val="002164B9"/>
    <w:rsid w:val="002175C0"/>
    <w:rsid w:val="00221DD3"/>
    <w:rsid w:val="00225849"/>
    <w:rsid w:val="002271A1"/>
    <w:rsid w:val="00232A09"/>
    <w:rsid w:val="002333BF"/>
    <w:rsid w:val="00236F5C"/>
    <w:rsid w:val="00242321"/>
    <w:rsid w:val="00243275"/>
    <w:rsid w:val="002462B8"/>
    <w:rsid w:val="0024746F"/>
    <w:rsid w:val="002552D0"/>
    <w:rsid w:val="00255825"/>
    <w:rsid w:val="00264AC0"/>
    <w:rsid w:val="00274407"/>
    <w:rsid w:val="00281940"/>
    <w:rsid w:val="00281F1D"/>
    <w:rsid w:val="00281FF6"/>
    <w:rsid w:val="00290870"/>
    <w:rsid w:val="002A5C53"/>
    <w:rsid w:val="002C3953"/>
    <w:rsid w:val="002D1CF0"/>
    <w:rsid w:val="002D43DE"/>
    <w:rsid w:val="002D465C"/>
    <w:rsid w:val="002D76ED"/>
    <w:rsid w:val="002D79ED"/>
    <w:rsid w:val="002E2AE1"/>
    <w:rsid w:val="002E49A3"/>
    <w:rsid w:val="002E6842"/>
    <w:rsid w:val="002F7FAA"/>
    <w:rsid w:val="00303852"/>
    <w:rsid w:val="003105DD"/>
    <w:rsid w:val="0032047C"/>
    <w:rsid w:val="00321D12"/>
    <w:rsid w:val="00321DEE"/>
    <w:rsid w:val="0032484E"/>
    <w:rsid w:val="003260C1"/>
    <w:rsid w:val="0032771A"/>
    <w:rsid w:val="00334962"/>
    <w:rsid w:val="00335298"/>
    <w:rsid w:val="0033555D"/>
    <w:rsid w:val="00335A27"/>
    <w:rsid w:val="00350F6A"/>
    <w:rsid w:val="0035650B"/>
    <w:rsid w:val="0036029F"/>
    <w:rsid w:val="00360761"/>
    <w:rsid w:val="00363923"/>
    <w:rsid w:val="00363BA2"/>
    <w:rsid w:val="00364C2E"/>
    <w:rsid w:val="00371679"/>
    <w:rsid w:val="00383300"/>
    <w:rsid w:val="00383BE5"/>
    <w:rsid w:val="003873C1"/>
    <w:rsid w:val="00391239"/>
    <w:rsid w:val="003964E0"/>
    <w:rsid w:val="003A6B5C"/>
    <w:rsid w:val="003B0B74"/>
    <w:rsid w:val="003C05B5"/>
    <w:rsid w:val="003C4CCD"/>
    <w:rsid w:val="003C7BC4"/>
    <w:rsid w:val="003D004E"/>
    <w:rsid w:val="003D2939"/>
    <w:rsid w:val="003E073B"/>
    <w:rsid w:val="003E578F"/>
    <w:rsid w:val="003E696C"/>
    <w:rsid w:val="003F1B21"/>
    <w:rsid w:val="004033EC"/>
    <w:rsid w:val="004034AD"/>
    <w:rsid w:val="00412931"/>
    <w:rsid w:val="00413E75"/>
    <w:rsid w:val="004268A1"/>
    <w:rsid w:val="00430979"/>
    <w:rsid w:val="00431130"/>
    <w:rsid w:val="0043294D"/>
    <w:rsid w:val="00434CC6"/>
    <w:rsid w:val="0044122E"/>
    <w:rsid w:val="0044476D"/>
    <w:rsid w:val="0044687A"/>
    <w:rsid w:val="004538EB"/>
    <w:rsid w:val="00453B21"/>
    <w:rsid w:val="00462D7B"/>
    <w:rsid w:val="00464CE7"/>
    <w:rsid w:val="0046672F"/>
    <w:rsid w:val="0047717F"/>
    <w:rsid w:val="004774B3"/>
    <w:rsid w:val="00477E04"/>
    <w:rsid w:val="00495642"/>
    <w:rsid w:val="00497F8A"/>
    <w:rsid w:val="004A084D"/>
    <w:rsid w:val="004A4419"/>
    <w:rsid w:val="004A5BB0"/>
    <w:rsid w:val="004A6937"/>
    <w:rsid w:val="004B1BC6"/>
    <w:rsid w:val="004B1BF6"/>
    <w:rsid w:val="004D5872"/>
    <w:rsid w:val="004D60F5"/>
    <w:rsid w:val="004D64E5"/>
    <w:rsid w:val="004E200D"/>
    <w:rsid w:val="004E53D3"/>
    <w:rsid w:val="004F345A"/>
    <w:rsid w:val="00514AB2"/>
    <w:rsid w:val="00515460"/>
    <w:rsid w:val="00515B97"/>
    <w:rsid w:val="00523112"/>
    <w:rsid w:val="00536CC4"/>
    <w:rsid w:val="005424FB"/>
    <w:rsid w:val="00542A1B"/>
    <w:rsid w:val="00546800"/>
    <w:rsid w:val="0054717D"/>
    <w:rsid w:val="005502CA"/>
    <w:rsid w:val="00551240"/>
    <w:rsid w:val="00553441"/>
    <w:rsid w:val="005602E5"/>
    <w:rsid w:val="00570A71"/>
    <w:rsid w:val="0057285A"/>
    <w:rsid w:val="00587B96"/>
    <w:rsid w:val="00591CBB"/>
    <w:rsid w:val="00595314"/>
    <w:rsid w:val="005B5C07"/>
    <w:rsid w:val="005B7CA2"/>
    <w:rsid w:val="005C357C"/>
    <w:rsid w:val="005C6E82"/>
    <w:rsid w:val="005C7D1F"/>
    <w:rsid w:val="005C7E17"/>
    <w:rsid w:val="005D0415"/>
    <w:rsid w:val="005D3244"/>
    <w:rsid w:val="005F5C59"/>
    <w:rsid w:val="005F79A7"/>
    <w:rsid w:val="00600848"/>
    <w:rsid w:val="0060195B"/>
    <w:rsid w:val="00612C6C"/>
    <w:rsid w:val="00613753"/>
    <w:rsid w:val="006204FC"/>
    <w:rsid w:val="006266EE"/>
    <w:rsid w:val="00627D2D"/>
    <w:rsid w:val="00635029"/>
    <w:rsid w:val="0063755C"/>
    <w:rsid w:val="0064126C"/>
    <w:rsid w:val="006413D4"/>
    <w:rsid w:val="006435C9"/>
    <w:rsid w:val="00653AE9"/>
    <w:rsid w:val="00656F23"/>
    <w:rsid w:val="00664628"/>
    <w:rsid w:val="00671080"/>
    <w:rsid w:val="00671BF6"/>
    <w:rsid w:val="00674E7C"/>
    <w:rsid w:val="00675B32"/>
    <w:rsid w:val="0067634C"/>
    <w:rsid w:val="006769C4"/>
    <w:rsid w:val="0068798F"/>
    <w:rsid w:val="00694039"/>
    <w:rsid w:val="00697434"/>
    <w:rsid w:val="006A5164"/>
    <w:rsid w:val="006B3428"/>
    <w:rsid w:val="006C3D3D"/>
    <w:rsid w:val="006D4BFB"/>
    <w:rsid w:val="006D7A4F"/>
    <w:rsid w:val="006E0A12"/>
    <w:rsid w:val="006E365A"/>
    <w:rsid w:val="006E6076"/>
    <w:rsid w:val="006F1E4C"/>
    <w:rsid w:val="006F50A9"/>
    <w:rsid w:val="00700037"/>
    <w:rsid w:val="00706E89"/>
    <w:rsid w:val="00713A54"/>
    <w:rsid w:val="00714462"/>
    <w:rsid w:val="00720C9B"/>
    <w:rsid w:val="00723EAF"/>
    <w:rsid w:val="0072438F"/>
    <w:rsid w:val="007265AF"/>
    <w:rsid w:val="0073157C"/>
    <w:rsid w:val="00736EF5"/>
    <w:rsid w:val="007419B6"/>
    <w:rsid w:val="007448C0"/>
    <w:rsid w:val="00751F33"/>
    <w:rsid w:val="00754D1D"/>
    <w:rsid w:val="00762F35"/>
    <w:rsid w:val="00763A08"/>
    <w:rsid w:val="00765796"/>
    <w:rsid w:val="00767F9F"/>
    <w:rsid w:val="007845FC"/>
    <w:rsid w:val="007852E7"/>
    <w:rsid w:val="00785B45"/>
    <w:rsid w:val="0079197B"/>
    <w:rsid w:val="00795DAC"/>
    <w:rsid w:val="00796C33"/>
    <w:rsid w:val="00797B37"/>
    <w:rsid w:val="00797D69"/>
    <w:rsid w:val="007A021A"/>
    <w:rsid w:val="007A340C"/>
    <w:rsid w:val="007A59D0"/>
    <w:rsid w:val="007B0331"/>
    <w:rsid w:val="007B1B4C"/>
    <w:rsid w:val="007B3895"/>
    <w:rsid w:val="007B6831"/>
    <w:rsid w:val="007C08A5"/>
    <w:rsid w:val="007D4058"/>
    <w:rsid w:val="007E1D4E"/>
    <w:rsid w:val="007E7D83"/>
    <w:rsid w:val="007F1DBC"/>
    <w:rsid w:val="007F663B"/>
    <w:rsid w:val="008050C7"/>
    <w:rsid w:val="008065CA"/>
    <w:rsid w:val="00823932"/>
    <w:rsid w:val="0082643B"/>
    <w:rsid w:val="00830016"/>
    <w:rsid w:val="008376C0"/>
    <w:rsid w:val="00837998"/>
    <w:rsid w:val="00842CBC"/>
    <w:rsid w:val="008460EA"/>
    <w:rsid w:val="008541B9"/>
    <w:rsid w:val="0085607E"/>
    <w:rsid w:val="008608DA"/>
    <w:rsid w:val="008660AF"/>
    <w:rsid w:val="00872840"/>
    <w:rsid w:val="00873D27"/>
    <w:rsid w:val="00880FB4"/>
    <w:rsid w:val="00893E98"/>
    <w:rsid w:val="008972A0"/>
    <w:rsid w:val="00897B6B"/>
    <w:rsid w:val="008A026F"/>
    <w:rsid w:val="008A5A22"/>
    <w:rsid w:val="008B6731"/>
    <w:rsid w:val="008B7637"/>
    <w:rsid w:val="008C731D"/>
    <w:rsid w:val="008C747B"/>
    <w:rsid w:val="008D6500"/>
    <w:rsid w:val="008F38DC"/>
    <w:rsid w:val="008F3B50"/>
    <w:rsid w:val="008F4C19"/>
    <w:rsid w:val="008F7DC3"/>
    <w:rsid w:val="009053BA"/>
    <w:rsid w:val="0090766E"/>
    <w:rsid w:val="00907DD3"/>
    <w:rsid w:val="00915884"/>
    <w:rsid w:val="009249FF"/>
    <w:rsid w:val="00934D9C"/>
    <w:rsid w:val="009432E0"/>
    <w:rsid w:val="0094371D"/>
    <w:rsid w:val="00943B11"/>
    <w:rsid w:val="00945F54"/>
    <w:rsid w:val="00950257"/>
    <w:rsid w:val="0095111F"/>
    <w:rsid w:val="00953E6E"/>
    <w:rsid w:val="009570C0"/>
    <w:rsid w:val="00962D0E"/>
    <w:rsid w:val="0096493B"/>
    <w:rsid w:val="00965474"/>
    <w:rsid w:val="009759CC"/>
    <w:rsid w:val="009761C4"/>
    <w:rsid w:val="00976479"/>
    <w:rsid w:val="00976DEC"/>
    <w:rsid w:val="00977DAE"/>
    <w:rsid w:val="00981076"/>
    <w:rsid w:val="00982239"/>
    <w:rsid w:val="009836E6"/>
    <w:rsid w:val="00984091"/>
    <w:rsid w:val="009848C8"/>
    <w:rsid w:val="00992643"/>
    <w:rsid w:val="0099377E"/>
    <w:rsid w:val="009946B0"/>
    <w:rsid w:val="00994EAB"/>
    <w:rsid w:val="00997FE1"/>
    <w:rsid w:val="009A2FAD"/>
    <w:rsid w:val="009A302D"/>
    <w:rsid w:val="009B03CB"/>
    <w:rsid w:val="009B17CB"/>
    <w:rsid w:val="009B362E"/>
    <w:rsid w:val="009B39DF"/>
    <w:rsid w:val="009C16BE"/>
    <w:rsid w:val="009C2E26"/>
    <w:rsid w:val="009D04AD"/>
    <w:rsid w:val="009D0765"/>
    <w:rsid w:val="009D61B8"/>
    <w:rsid w:val="009E21EC"/>
    <w:rsid w:val="009E2945"/>
    <w:rsid w:val="009E2B27"/>
    <w:rsid w:val="009E3F0D"/>
    <w:rsid w:val="009F0AB5"/>
    <w:rsid w:val="009F0F23"/>
    <w:rsid w:val="009F2B15"/>
    <w:rsid w:val="00A0626A"/>
    <w:rsid w:val="00A14E99"/>
    <w:rsid w:val="00A2550C"/>
    <w:rsid w:val="00A3280F"/>
    <w:rsid w:val="00A33804"/>
    <w:rsid w:val="00A365C2"/>
    <w:rsid w:val="00A406D6"/>
    <w:rsid w:val="00A442B7"/>
    <w:rsid w:val="00A45509"/>
    <w:rsid w:val="00A6107D"/>
    <w:rsid w:val="00A613E1"/>
    <w:rsid w:val="00A722E3"/>
    <w:rsid w:val="00A76531"/>
    <w:rsid w:val="00A76DE8"/>
    <w:rsid w:val="00A97C4E"/>
    <w:rsid w:val="00AA1551"/>
    <w:rsid w:val="00AA3BCC"/>
    <w:rsid w:val="00AA45A1"/>
    <w:rsid w:val="00AB05AF"/>
    <w:rsid w:val="00AB1495"/>
    <w:rsid w:val="00AB2BD7"/>
    <w:rsid w:val="00AB337B"/>
    <w:rsid w:val="00AB47ED"/>
    <w:rsid w:val="00AD4B3E"/>
    <w:rsid w:val="00AD7FD4"/>
    <w:rsid w:val="00AE0637"/>
    <w:rsid w:val="00AE1D8F"/>
    <w:rsid w:val="00AE4DEB"/>
    <w:rsid w:val="00AF11A5"/>
    <w:rsid w:val="00AF2833"/>
    <w:rsid w:val="00AF5034"/>
    <w:rsid w:val="00AF64AA"/>
    <w:rsid w:val="00AF6D5E"/>
    <w:rsid w:val="00AF74AD"/>
    <w:rsid w:val="00B01B55"/>
    <w:rsid w:val="00B14372"/>
    <w:rsid w:val="00B1469A"/>
    <w:rsid w:val="00B16492"/>
    <w:rsid w:val="00B17FEE"/>
    <w:rsid w:val="00B22224"/>
    <w:rsid w:val="00B22D39"/>
    <w:rsid w:val="00B2496B"/>
    <w:rsid w:val="00B279D3"/>
    <w:rsid w:val="00B32027"/>
    <w:rsid w:val="00B352BD"/>
    <w:rsid w:val="00B35703"/>
    <w:rsid w:val="00B42DE8"/>
    <w:rsid w:val="00B57361"/>
    <w:rsid w:val="00B63A04"/>
    <w:rsid w:val="00B67932"/>
    <w:rsid w:val="00B7711D"/>
    <w:rsid w:val="00B77B78"/>
    <w:rsid w:val="00B852B9"/>
    <w:rsid w:val="00B92548"/>
    <w:rsid w:val="00B93487"/>
    <w:rsid w:val="00B93B87"/>
    <w:rsid w:val="00BA0D44"/>
    <w:rsid w:val="00BA1932"/>
    <w:rsid w:val="00BA6C0C"/>
    <w:rsid w:val="00BA71D4"/>
    <w:rsid w:val="00BB24BE"/>
    <w:rsid w:val="00BC011E"/>
    <w:rsid w:val="00BC50C6"/>
    <w:rsid w:val="00BC7DD7"/>
    <w:rsid w:val="00BD0A96"/>
    <w:rsid w:val="00BE36B2"/>
    <w:rsid w:val="00BE59C0"/>
    <w:rsid w:val="00BF0DD4"/>
    <w:rsid w:val="00C027FC"/>
    <w:rsid w:val="00C04917"/>
    <w:rsid w:val="00C05A75"/>
    <w:rsid w:val="00C12131"/>
    <w:rsid w:val="00C14A02"/>
    <w:rsid w:val="00C16D9B"/>
    <w:rsid w:val="00C17CEC"/>
    <w:rsid w:val="00C21A7A"/>
    <w:rsid w:val="00C24143"/>
    <w:rsid w:val="00C32A96"/>
    <w:rsid w:val="00C358DF"/>
    <w:rsid w:val="00C374E0"/>
    <w:rsid w:val="00C42352"/>
    <w:rsid w:val="00C46D1E"/>
    <w:rsid w:val="00C5645D"/>
    <w:rsid w:val="00C57753"/>
    <w:rsid w:val="00C73796"/>
    <w:rsid w:val="00C73ABB"/>
    <w:rsid w:val="00C74EC3"/>
    <w:rsid w:val="00C80E08"/>
    <w:rsid w:val="00C8451A"/>
    <w:rsid w:val="00C90041"/>
    <w:rsid w:val="00C94783"/>
    <w:rsid w:val="00C96175"/>
    <w:rsid w:val="00C96C54"/>
    <w:rsid w:val="00CA3E2A"/>
    <w:rsid w:val="00CA5676"/>
    <w:rsid w:val="00CB2424"/>
    <w:rsid w:val="00CB55C6"/>
    <w:rsid w:val="00CB60A1"/>
    <w:rsid w:val="00CC43F5"/>
    <w:rsid w:val="00CC49D9"/>
    <w:rsid w:val="00CC4CE1"/>
    <w:rsid w:val="00CD0A7D"/>
    <w:rsid w:val="00CD5F06"/>
    <w:rsid w:val="00CD6606"/>
    <w:rsid w:val="00CE337C"/>
    <w:rsid w:val="00CE46FA"/>
    <w:rsid w:val="00CF119A"/>
    <w:rsid w:val="00CF4E87"/>
    <w:rsid w:val="00D17ECB"/>
    <w:rsid w:val="00D232D5"/>
    <w:rsid w:val="00D27C1B"/>
    <w:rsid w:val="00D30A93"/>
    <w:rsid w:val="00D30D78"/>
    <w:rsid w:val="00D31A0E"/>
    <w:rsid w:val="00D35AC6"/>
    <w:rsid w:val="00D36345"/>
    <w:rsid w:val="00D366B1"/>
    <w:rsid w:val="00D426B5"/>
    <w:rsid w:val="00D43BBA"/>
    <w:rsid w:val="00D474DD"/>
    <w:rsid w:val="00D5079C"/>
    <w:rsid w:val="00D56FC7"/>
    <w:rsid w:val="00D60AE9"/>
    <w:rsid w:val="00D71230"/>
    <w:rsid w:val="00D73448"/>
    <w:rsid w:val="00D809BC"/>
    <w:rsid w:val="00D87BBA"/>
    <w:rsid w:val="00D901BA"/>
    <w:rsid w:val="00D90F55"/>
    <w:rsid w:val="00D948B8"/>
    <w:rsid w:val="00D957C3"/>
    <w:rsid w:val="00D96D9C"/>
    <w:rsid w:val="00D97163"/>
    <w:rsid w:val="00DA60CC"/>
    <w:rsid w:val="00DB0D0D"/>
    <w:rsid w:val="00DB232B"/>
    <w:rsid w:val="00DC0357"/>
    <w:rsid w:val="00DC3465"/>
    <w:rsid w:val="00DC72B7"/>
    <w:rsid w:val="00DD23A6"/>
    <w:rsid w:val="00DD3D62"/>
    <w:rsid w:val="00DD5243"/>
    <w:rsid w:val="00DE14C0"/>
    <w:rsid w:val="00DE2389"/>
    <w:rsid w:val="00DE23AE"/>
    <w:rsid w:val="00DE5EA6"/>
    <w:rsid w:val="00DF5753"/>
    <w:rsid w:val="00DF734E"/>
    <w:rsid w:val="00E04BBE"/>
    <w:rsid w:val="00E10A1F"/>
    <w:rsid w:val="00E17F57"/>
    <w:rsid w:val="00E2088F"/>
    <w:rsid w:val="00E22D2E"/>
    <w:rsid w:val="00E22F62"/>
    <w:rsid w:val="00E2401D"/>
    <w:rsid w:val="00E243E2"/>
    <w:rsid w:val="00E249C5"/>
    <w:rsid w:val="00E40199"/>
    <w:rsid w:val="00E439A6"/>
    <w:rsid w:val="00E44F5A"/>
    <w:rsid w:val="00E502E5"/>
    <w:rsid w:val="00E50437"/>
    <w:rsid w:val="00E529B9"/>
    <w:rsid w:val="00E60420"/>
    <w:rsid w:val="00E60953"/>
    <w:rsid w:val="00E60E2D"/>
    <w:rsid w:val="00E62463"/>
    <w:rsid w:val="00E665BA"/>
    <w:rsid w:val="00E66D8D"/>
    <w:rsid w:val="00E70F79"/>
    <w:rsid w:val="00E73C6E"/>
    <w:rsid w:val="00E84385"/>
    <w:rsid w:val="00E85177"/>
    <w:rsid w:val="00E85731"/>
    <w:rsid w:val="00E8687B"/>
    <w:rsid w:val="00EA175A"/>
    <w:rsid w:val="00EA382C"/>
    <w:rsid w:val="00EA619A"/>
    <w:rsid w:val="00EB1008"/>
    <w:rsid w:val="00EB207D"/>
    <w:rsid w:val="00EB3D51"/>
    <w:rsid w:val="00EC7BB4"/>
    <w:rsid w:val="00EE1B34"/>
    <w:rsid w:val="00EE2BA2"/>
    <w:rsid w:val="00EE5575"/>
    <w:rsid w:val="00EF4293"/>
    <w:rsid w:val="00F03167"/>
    <w:rsid w:val="00F13436"/>
    <w:rsid w:val="00F224EF"/>
    <w:rsid w:val="00F242EE"/>
    <w:rsid w:val="00F35D77"/>
    <w:rsid w:val="00F36E3E"/>
    <w:rsid w:val="00F42983"/>
    <w:rsid w:val="00F472C5"/>
    <w:rsid w:val="00F50296"/>
    <w:rsid w:val="00F5367D"/>
    <w:rsid w:val="00F64725"/>
    <w:rsid w:val="00F70838"/>
    <w:rsid w:val="00F72B37"/>
    <w:rsid w:val="00F74D94"/>
    <w:rsid w:val="00F77841"/>
    <w:rsid w:val="00F77C4A"/>
    <w:rsid w:val="00F85737"/>
    <w:rsid w:val="00FA040B"/>
    <w:rsid w:val="00FA14EC"/>
    <w:rsid w:val="00FA3F87"/>
    <w:rsid w:val="00FA5162"/>
    <w:rsid w:val="00FA659B"/>
    <w:rsid w:val="00FB326A"/>
    <w:rsid w:val="00FB54D8"/>
    <w:rsid w:val="00FB6882"/>
    <w:rsid w:val="00FC0F2B"/>
    <w:rsid w:val="00FC7314"/>
    <w:rsid w:val="00FC7945"/>
    <w:rsid w:val="00FC7983"/>
    <w:rsid w:val="00FD406E"/>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950257"/>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0257"/>
    <w:pPr>
      <w:tabs>
        <w:tab w:val="center" w:pos="4536"/>
        <w:tab w:val="right" w:pos="9072"/>
      </w:tabs>
    </w:pPr>
  </w:style>
  <w:style w:type="paragraph" w:styleId="Fuzeile">
    <w:name w:val="footer"/>
    <w:basedOn w:val="Standard"/>
    <w:rsid w:val="00950257"/>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paragraph" w:styleId="Endnotentext">
    <w:name w:val="endnote text"/>
    <w:basedOn w:val="Standard"/>
    <w:link w:val="EndnotentextZchn"/>
    <w:rsid w:val="001928B6"/>
    <w:rPr>
      <w:rFonts w:ascii="Arial" w:hAnsi="Arial"/>
      <w:sz w:val="20"/>
      <w:lang w:eastAsia="en-US"/>
    </w:rPr>
  </w:style>
  <w:style w:type="character" w:customStyle="1" w:styleId="EndnotentextZchn">
    <w:name w:val="Endnotentext Zchn"/>
    <w:link w:val="Endnotentext"/>
    <w:rsid w:val="001928B6"/>
    <w:rPr>
      <w:rFonts w:ascii="Arial" w:hAnsi="Arial"/>
      <w:lang w:val="en-US" w:eastAsia="en-US"/>
    </w:rPr>
  </w:style>
  <w:style w:type="character" w:styleId="Endnotenzeichen">
    <w:name w:val="endnote reference"/>
    <w:rsid w:val="001928B6"/>
    <w:rPr>
      <w:vertAlign w:val="superscript"/>
    </w:rPr>
  </w:style>
  <w:style w:type="character" w:styleId="Kommentarzeichen">
    <w:name w:val="annotation reference"/>
    <w:rsid w:val="00675B32"/>
    <w:rPr>
      <w:sz w:val="16"/>
      <w:szCs w:val="16"/>
    </w:rPr>
  </w:style>
  <w:style w:type="paragraph" w:styleId="Kommentartext">
    <w:name w:val="annotation text"/>
    <w:basedOn w:val="Standard"/>
    <w:link w:val="KommentartextZchn"/>
    <w:rsid w:val="00675B32"/>
    <w:rPr>
      <w:sz w:val="20"/>
    </w:rPr>
  </w:style>
  <w:style w:type="character" w:customStyle="1" w:styleId="KommentartextZchn">
    <w:name w:val="Kommentartext Zchn"/>
    <w:link w:val="Kommentartext"/>
    <w:rsid w:val="00675B32"/>
    <w:rPr>
      <w:rFonts w:ascii="Calibri" w:hAnsi="Calibri"/>
      <w:lang w:val="en-US"/>
    </w:rPr>
  </w:style>
  <w:style w:type="paragraph" w:styleId="Kommentarthema">
    <w:name w:val="annotation subject"/>
    <w:basedOn w:val="Kommentartext"/>
    <w:next w:val="Kommentartext"/>
    <w:link w:val="KommentarthemaZchn"/>
    <w:rsid w:val="00675B32"/>
    <w:rPr>
      <w:b/>
      <w:bCs/>
    </w:rPr>
  </w:style>
  <w:style w:type="character" w:customStyle="1" w:styleId="KommentarthemaZchn">
    <w:name w:val="Kommentarthema Zchn"/>
    <w:link w:val="Kommentarthema"/>
    <w:rsid w:val="00675B32"/>
    <w:rPr>
      <w:rFonts w:ascii="Calibri" w:hAnsi="Calibri"/>
      <w:b/>
      <w:bCs/>
      <w:lang w:val="en-US"/>
    </w:rPr>
  </w:style>
  <w:style w:type="character" w:styleId="Hyperlink">
    <w:name w:val="Hyperlink"/>
    <w:rsid w:val="00E8687B"/>
    <w:rPr>
      <w:color w:val="0000FF"/>
      <w:u w:val="single"/>
    </w:rPr>
  </w:style>
  <w:style w:type="paragraph" w:styleId="KeinLeerraum">
    <w:name w:val="No Spacing"/>
    <w:basedOn w:val="Standard"/>
    <w:uiPriority w:val="1"/>
    <w:qFormat/>
    <w:rsid w:val="00477E04"/>
    <w:rPr>
      <w:rFonts w:eastAsia="Calibri" w:cs="Calibri"/>
      <w:szCs w:val="22"/>
      <w:lang w:eastAsia="en-US"/>
    </w:rPr>
  </w:style>
  <w:style w:type="paragraph" w:styleId="Listenabsatz">
    <w:name w:val="List Paragraph"/>
    <w:basedOn w:val="Standard"/>
    <w:uiPriority w:val="34"/>
    <w:qFormat/>
    <w:rsid w:val="009759CC"/>
    <w:pPr>
      <w:ind w:left="720"/>
      <w:contextualSpacing/>
    </w:pPr>
  </w:style>
  <w:style w:type="paragraph" w:styleId="berarbeitung">
    <w:name w:val="Revision"/>
    <w:hidden/>
    <w:uiPriority w:val="99"/>
    <w:semiHidden/>
    <w:rsid w:val="0096493B"/>
    <w:rPr>
      <w:rFonts w:ascii="Calibri" w:hAnsi="Calibr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950257"/>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0257"/>
    <w:pPr>
      <w:tabs>
        <w:tab w:val="center" w:pos="4536"/>
        <w:tab w:val="right" w:pos="9072"/>
      </w:tabs>
    </w:pPr>
  </w:style>
  <w:style w:type="paragraph" w:styleId="Fuzeile">
    <w:name w:val="footer"/>
    <w:basedOn w:val="Standard"/>
    <w:rsid w:val="00950257"/>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paragraph" w:styleId="Endnotentext">
    <w:name w:val="endnote text"/>
    <w:basedOn w:val="Standard"/>
    <w:link w:val="EndnotentextZchn"/>
    <w:rsid w:val="001928B6"/>
    <w:rPr>
      <w:rFonts w:ascii="Arial" w:hAnsi="Arial"/>
      <w:sz w:val="20"/>
      <w:lang w:eastAsia="en-US"/>
    </w:rPr>
  </w:style>
  <w:style w:type="character" w:customStyle="1" w:styleId="EndnotentextZchn">
    <w:name w:val="Endnotentext Zchn"/>
    <w:link w:val="Endnotentext"/>
    <w:rsid w:val="001928B6"/>
    <w:rPr>
      <w:rFonts w:ascii="Arial" w:hAnsi="Arial"/>
      <w:lang w:val="en-US" w:eastAsia="en-US"/>
    </w:rPr>
  </w:style>
  <w:style w:type="character" w:styleId="Endnotenzeichen">
    <w:name w:val="endnote reference"/>
    <w:rsid w:val="001928B6"/>
    <w:rPr>
      <w:vertAlign w:val="superscript"/>
    </w:rPr>
  </w:style>
  <w:style w:type="character" w:styleId="Kommentarzeichen">
    <w:name w:val="annotation reference"/>
    <w:rsid w:val="00675B32"/>
    <w:rPr>
      <w:sz w:val="16"/>
      <w:szCs w:val="16"/>
    </w:rPr>
  </w:style>
  <w:style w:type="paragraph" w:styleId="Kommentartext">
    <w:name w:val="annotation text"/>
    <w:basedOn w:val="Standard"/>
    <w:link w:val="KommentartextZchn"/>
    <w:rsid w:val="00675B32"/>
    <w:rPr>
      <w:sz w:val="20"/>
    </w:rPr>
  </w:style>
  <w:style w:type="character" w:customStyle="1" w:styleId="KommentartextZchn">
    <w:name w:val="Kommentartext Zchn"/>
    <w:link w:val="Kommentartext"/>
    <w:rsid w:val="00675B32"/>
    <w:rPr>
      <w:rFonts w:ascii="Calibri" w:hAnsi="Calibri"/>
      <w:lang w:val="en-US"/>
    </w:rPr>
  </w:style>
  <w:style w:type="paragraph" w:styleId="Kommentarthema">
    <w:name w:val="annotation subject"/>
    <w:basedOn w:val="Kommentartext"/>
    <w:next w:val="Kommentartext"/>
    <w:link w:val="KommentarthemaZchn"/>
    <w:rsid w:val="00675B32"/>
    <w:rPr>
      <w:b/>
      <w:bCs/>
    </w:rPr>
  </w:style>
  <w:style w:type="character" w:customStyle="1" w:styleId="KommentarthemaZchn">
    <w:name w:val="Kommentarthema Zchn"/>
    <w:link w:val="Kommentarthema"/>
    <w:rsid w:val="00675B32"/>
    <w:rPr>
      <w:rFonts w:ascii="Calibri" w:hAnsi="Calibri"/>
      <w:b/>
      <w:bCs/>
      <w:lang w:val="en-US"/>
    </w:rPr>
  </w:style>
  <w:style w:type="character" w:styleId="Hyperlink">
    <w:name w:val="Hyperlink"/>
    <w:rsid w:val="00E8687B"/>
    <w:rPr>
      <w:color w:val="0000FF"/>
      <w:u w:val="single"/>
    </w:rPr>
  </w:style>
  <w:style w:type="paragraph" w:styleId="KeinLeerraum">
    <w:name w:val="No Spacing"/>
    <w:basedOn w:val="Standard"/>
    <w:uiPriority w:val="1"/>
    <w:qFormat/>
    <w:rsid w:val="00477E04"/>
    <w:rPr>
      <w:rFonts w:eastAsia="Calibri" w:cs="Calibri"/>
      <w:szCs w:val="22"/>
      <w:lang w:eastAsia="en-US"/>
    </w:rPr>
  </w:style>
  <w:style w:type="paragraph" w:styleId="Listenabsatz">
    <w:name w:val="List Paragraph"/>
    <w:basedOn w:val="Standard"/>
    <w:uiPriority w:val="34"/>
    <w:qFormat/>
    <w:rsid w:val="009759CC"/>
    <w:pPr>
      <w:ind w:left="720"/>
      <w:contextualSpacing/>
    </w:pPr>
  </w:style>
  <w:style w:type="paragraph" w:styleId="berarbeitung">
    <w:name w:val="Revision"/>
    <w:hidden/>
    <w:uiPriority w:val="99"/>
    <w:semiHidden/>
    <w:rsid w:val="0096493B"/>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9393">
      <w:bodyDiv w:val="1"/>
      <w:marLeft w:val="0"/>
      <w:marRight w:val="0"/>
      <w:marTop w:val="0"/>
      <w:marBottom w:val="0"/>
      <w:divBdr>
        <w:top w:val="none" w:sz="0" w:space="0" w:color="auto"/>
        <w:left w:val="none" w:sz="0" w:space="0" w:color="auto"/>
        <w:bottom w:val="none" w:sz="0" w:space="0" w:color="auto"/>
        <w:right w:val="none" w:sz="0" w:space="0" w:color="auto"/>
      </w:divBdr>
    </w:div>
    <w:div w:id="1439449912">
      <w:bodyDiv w:val="1"/>
      <w:marLeft w:val="0"/>
      <w:marRight w:val="0"/>
      <w:marTop w:val="0"/>
      <w:marBottom w:val="0"/>
      <w:divBdr>
        <w:top w:val="none" w:sz="0" w:space="0" w:color="auto"/>
        <w:left w:val="none" w:sz="0" w:space="0" w:color="auto"/>
        <w:bottom w:val="none" w:sz="0" w:space="0" w:color="auto"/>
        <w:right w:val="none" w:sz="0" w:space="0" w:color="auto"/>
      </w:divBdr>
    </w:div>
    <w:div w:id="1563979293">
      <w:bodyDiv w:val="1"/>
      <w:marLeft w:val="0"/>
      <w:marRight w:val="0"/>
      <w:marTop w:val="0"/>
      <w:marBottom w:val="0"/>
      <w:divBdr>
        <w:top w:val="none" w:sz="0" w:space="0" w:color="auto"/>
        <w:left w:val="none" w:sz="0" w:space="0" w:color="auto"/>
        <w:bottom w:val="none" w:sz="0" w:space="0" w:color="auto"/>
        <w:right w:val="none" w:sz="0" w:space="0" w:color="auto"/>
      </w:divBdr>
      <w:divsChild>
        <w:div w:id="875002941">
          <w:marLeft w:val="547"/>
          <w:marRight w:val="0"/>
          <w:marTop w:val="86"/>
          <w:marBottom w:val="0"/>
          <w:divBdr>
            <w:top w:val="none" w:sz="0" w:space="0" w:color="auto"/>
            <w:left w:val="none" w:sz="0" w:space="0" w:color="auto"/>
            <w:bottom w:val="none" w:sz="0" w:space="0" w:color="auto"/>
            <w:right w:val="none" w:sz="0" w:space="0" w:color="auto"/>
          </w:divBdr>
        </w:div>
        <w:div w:id="1200751305">
          <w:marLeft w:val="547"/>
          <w:marRight w:val="0"/>
          <w:marTop w:val="86"/>
          <w:marBottom w:val="0"/>
          <w:divBdr>
            <w:top w:val="none" w:sz="0" w:space="0" w:color="auto"/>
            <w:left w:val="none" w:sz="0" w:space="0" w:color="auto"/>
            <w:bottom w:val="none" w:sz="0" w:space="0" w:color="auto"/>
            <w:right w:val="none" w:sz="0" w:space="0" w:color="auto"/>
          </w:divBdr>
        </w:div>
        <w:div w:id="1234270712">
          <w:marLeft w:val="547"/>
          <w:marRight w:val="0"/>
          <w:marTop w:val="86"/>
          <w:marBottom w:val="0"/>
          <w:divBdr>
            <w:top w:val="none" w:sz="0" w:space="0" w:color="auto"/>
            <w:left w:val="none" w:sz="0" w:space="0" w:color="auto"/>
            <w:bottom w:val="none" w:sz="0" w:space="0" w:color="auto"/>
            <w:right w:val="none" w:sz="0" w:space="0" w:color="auto"/>
          </w:divBdr>
        </w:div>
        <w:div w:id="14585710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hilips.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liver.klug@philip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meethue.com/de-de/produkte/hue-ta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2.meethue.com/de-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09269-0A41-4B2C-9F43-D307A3590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4403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5091</CharactersWithSpaces>
  <SharedDoc>false</SharedDoc>
  <HLinks>
    <vt:vector size="12" baseType="variant">
      <vt:variant>
        <vt:i4>6488175</vt:i4>
      </vt:variant>
      <vt:variant>
        <vt:i4>3</vt:i4>
      </vt:variant>
      <vt:variant>
        <vt:i4>0</vt:i4>
      </vt:variant>
      <vt:variant>
        <vt:i4>5</vt:i4>
      </vt:variant>
      <vt:variant>
        <vt:lpwstr>http://www.philips.de/</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2014-09-03T10:18:00Z</dcterms:created>
  <dcterms:modified xsi:type="dcterms:W3CDTF">2014-09-03T10:18:00Z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Business group/ department name</vt:lpwstr>
  </property>
  <property fmtid="{D5CDD505-2E9C-101B-9397-08002B2CF9AE}" pid="3" name="Phone">
    <vt:lpwstr>012 345 6789</vt:lpwstr>
  </property>
  <property fmtid="{D5CDD505-2E9C-101B-9397-08002B2CF9AE}" pid="4" name="Fax">
    <vt:lpwstr>012 345 6789</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